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ave-w006-two-path-decision"/>
    <w:p>
      <w:pPr>
        <w:pStyle w:val="Heading1"/>
      </w:pPr>
      <w:r>
        <w:t xml:space="preserve">Wave W006 — Two-Path Decision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QCELL/RFCELL P&amp;ID ·</w:t>
      </w:r>
      <w:r>
        <w:t xml:space="preserve"> </w:t>
      </w:r>
      <w:r>
        <w:rPr>
          <w:bCs/>
          <w:b/>
        </w:rPr>
        <w:t xml:space="preserve">Status of prior waves:</w:t>
      </w:r>
      <w:r>
        <w:t xml:space="preserve"> </w:t>
      </w:r>
      <w:r>
        <w:t xml:space="preserve">W001–W005 complete (PR #546 merged, PR #547 open)</w:t>
      </w:r>
      <w:r>
        <w:t xml:space="preserve"> </w:t>
      </w:r>
      <w:r>
        <w:rPr>
          <w:bCs/>
          <w:b/>
        </w:rPr>
        <w:t xml:space="preserve">Pick one path below; W006 executes the selected option end-to-end.</w:t>
      </w:r>
    </w:p>
    <w:p>
      <w:r>
        <w:pict>
          <v:rect style="width:0;height:1.5pt" o:hralign="center" o:hrstd="t" o:hr="t"/>
        </w:pict>
      </w:r>
    </w:p>
    <w:bookmarkStart w:id="20" w:name="context-why-this-decision-exists"/>
    <w:p>
      <w:pPr>
        <w:pStyle w:val="Heading2"/>
      </w:pPr>
      <w:r>
        <w:t xml:space="preserve">Context (why this decision exists)</w:t>
      </w:r>
    </w:p>
    <w:p>
      <w:pPr>
        <w:pStyle w:val="FirstParagraph"/>
      </w:pPr>
      <w:r>
        <w:t xml:space="preserve">W005 reconciled the</w:t>
      </w:r>
      <w:r>
        <w:t xml:space="preserve"> </w:t>
      </w:r>
      <w:r>
        <w:rPr>
          <w:bCs/>
          <w:b/>
        </w:rPr>
        <w:t xml:space="preserve">design nomenclature register</w:t>
      </w:r>
      <w:r>
        <w:t xml:space="preserve"> </w:t>
      </w:r>
      <w:r>
        <w:t xml:space="preserve">(Excel, 97 tags) against the</w:t>
      </w:r>
      <w:r>
        <w:t xml:space="preserve"> </w:t>
      </w:r>
      <w:r>
        <w:rPr>
          <w:bCs/>
          <w:b/>
        </w:rPr>
        <w:t xml:space="preserve">as-drawn catalog</w:t>
      </w:r>
      <w:r>
        <w:t xml:space="preserve"> </w:t>
      </w:r>
      <w:r>
        <w:t xml:space="preserve">(SVG-instance, 141 real tags) and found</w:t>
      </w:r>
      <w:r>
        <w:t xml:space="preserve"> </w:t>
      </w:r>
      <w:r>
        <w:rPr>
          <w:bCs/>
          <w:b/>
        </w:rPr>
        <w:t xml:space="preserve">0 % exact tag overlap</w:t>
      </w:r>
      <w:r>
        <w:t xml:space="preserve"> </w:t>
      </w:r>
      <w:r>
        <w:t xml:space="preserve">— the two registers use</w:t>
      </w:r>
      <w:r>
        <w:t xml:space="preserve"> </w:t>
      </w:r>
      <w:r>
        <w:rPr>
          <w:iCs/>
          <w:i/>
        </w:rPr>
        <w:t xml:space="preserve">orthogonal</w:t>
      </w:r>
      <w:r>
        <w:t xml:space="preserve"> </w:t>
      </w:r>
      <w:r>
        <w:t xml:space="preserve">numbering schemes: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Design register (Excel)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As-drawn catalog (SVG)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Circuit-sequential (</w:t>
            </w:r>
            <w:r>
              <w:rPr>
                <w:rStyle w:val="VerbatimChar"/>
              </w:rPr>
              <w:t xml:space="preserve">CV001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TT100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SVG-instance (</w:t>
            </w:r>
            <w:r>
              <w:rPr>
                <w:rStyle w:val="VerbatimChar"/>
              </w:rPr>
              <w:t xml:space="preserve">CV560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TT514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location?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only (</w:t>
            </w:r>
            <w:r>
              <w:rPr>
                <w:rStyle w:val="VerbatimChar"/>
              </w:rPr>
              <w:t xml:space="preserve">"40K circuit to pumping line"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X/Y coordinates + colour-class line (A/B/D/S/V/W) +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circuit/temp?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in location text (40 K / 4.5 K / 2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via colour class + legend</w:t>
            </w:r>
          </w:p>
        </w:tc>
      </w:tr>
    </w:tbl>
    <w:p>
      <w:pPr>
        <w:pStyle w:val="BodyText"/>
      </w:pPr>
      <w:r>
        <w:t xml:space="preserve">The W005 report’s</w:t>
      </w:r>
      <w:r>
        <w:t xml:space="preserve"> </w:t>
      </w:r>
      <w:r>
        <w:rPr>
          <w:bCs/>
          <w:b/>
        </w:rPr>
        <w:t xml:space="preserve">#1 recommendation</w:t>
      </w:r>
      <w:r>
        <w:t xml:space="preserve"> </w:t>
      </w:r>
      <w:r>
        <w:t xml:space="preserve">was to build a</w:t>
      </w:r>
      <w:r>
        <w:t xml:space="preserve"> </w:t>
      </w:r>
      <w:r>
        <w:rPr>
          <w:bCs/>
          <w:b/>
        </w:rPr>
        <w:t xml:space="preserve">Design ↔ As-Drawn Cross-Map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6" w:name="X9cbed2180d861429ed1b06828b63f6836da7583"/>
    <w:p>
      <w:pPr>
        <w:pStyle w:val="Heading2"/>
      </w:pPr>
      <w:r>
        <w:t xml:space="preserve">Option A — Design ↔ As-Drawn Cross-Map ⭐ RECOMMENDED</w:t>
      </w:r>
    </w:p>
    <w:bookmarkStart w:id="21" w:name="what-it-solves"/>
    <w:p>
      <w:pPr>
        <w:pStyle w:val="Heading3"/>
      </w:pPr>
      <w:r>
        <w:t xml:space="preserve">What it solves</w:t>
      </w:r>
    </w:p>
    <w:p>
      <w:pPr>
        <w:pStyle w:val="FirstParagraph"/>
      </w:pPr>
      <w:r>
        <w:t xml:space="preserve">Turns the 0 % exact-overlap finding into a</w:t>
      </w:r>
      <w:r>
        <w:t xml:space="preserve"> </w:t>
      </w:r>
      <w:r>
        <w:rPr>
          <w:bCs/>
          <w:b/>
        </w:rPr>
        <w:t xml:space="preserve">functional bidirectional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CV001 ↔ CV560</w:t>
      </w:r>
      <w:r>
        <w:t xml:space="preserve">),</w:t>
      </w:r>
      <w:r>
        <w:t xml:space="preserve"> </w:t>
      </w:r>
      <w:r>
        <w:t xml:space="preserve">enabling traceability from design intent → physical implementation. Foundation for commissioning,</w:t>
      </w:r>
      <w:r>
        <w:t xml:space="preserve"> </w:t>
      </w:r>
      <w:r>
        <w:t xml:space="preserve">maintenance, and any future digital-twin work.</w:t>
      </w:r>
    </w:p>
    <w:bookmarkEnd w:id="21"/>
    <w:bookmarkStart w:id="22" w:name="Xc2bb33f2c7cf9e3cbe1708bf81e9f1519b246fe"/>
    <w:p>
      <w:pPr>
        <w:pStyle w:val="Heading3"/>
      </w:pPr>
      <w:r>
        <w:t xml:space="preserve">Approach (grounded in the actual W005 data)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 extraction</w:t>
      </w:r>
      <w:r>
        <w:t xml:space="preserve"> </w:t>
      </w:r>
      <w:r>
        <w:t xml:space="preserve">per tag: ISA TYPE, circuit/temperature (parsed from Excel location text vs.</w:t>
      </w:r>
      <w:r>
        <w:t xml:space="preserve"> </w:t>
      </w:r>
      <w:r>
        <w:t xml:space="preserve">catalog colour-class→legend), line assignment, and — catalog side only — X/Y + 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Type-partitioned candidate matching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confidence scoring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TYPE match (mandatory gate)</w:t>
      </w:r>
    </w:p>
    <w:p>
      <w:pPr>
        <w:numPr>
          <w:ilvl w:val="1"/>
          <w:numId w:val="1002"/>
        </w:numPr>
        <w:pStyle w:val="Compact"/>
      </w:pPr>
      <w:r>
        <w:t xml:space="preserve">Circuit/temperature-band agreement (40 K / 4.5 K / 2 K ↔ colour class)</w:t>
      </w:r>
    </w:p>
    <w:p>
      <w:pPr>
        <w:numPr>
          <w:ilvl w:val="1"/>
          <w:numId w:val="1002"/>
        </w:numPr>
        <w:pStyle w:val="Compact"/>
      </w:pPr>
      <w:r>
        <w:t xml:space="preserve">Sequence-order heuristic within a type+circuit group (design N-th ↔ as-drawn N-th)</w:t>
      </w:r>
    </w:p>
    <w:p>
      <w:pPr>
        <w:numPr>
          <w:ilvl w:val="1"/>
          <w:numId w:val="1002"/>
        </w:numPr>
        <w:pStyle w:val="Compact"/>
      </w:pPr>
      <w:r>
        <w:t xml:space="preserve">Manual validation seed (e.g. the PPT-confirmed</w:t>
      </w:r>
      <w:r>
        <w:t xml:space="preserve"> </w:t>
      </w:r>
      <w:r>
        <w:rPr>
          <w:rStyle w:val="VerbatimChar"/>
        </w:rPr>
        <w:t xml:space="preserve">TT535</w:t>
      </w:r>
      <w:r>
        <w:t xml:space="preserve">/</w:t>
      </w:r>
      <w:r>
        <w:rPr>
          <w:rStyle w:val="VerbatimChar"/>
        </w:rPr>
        <w:t xml:space="preserve">TT525</w:t>
      </w:r>
      <w:r>
        <w:t xml:space="preserve"> </w:t>
      </w:r>
      <w:r>
        <w:t xml:space="preserve">→ PZ allocations)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 tiers:</w:t>
      </w:r>
      <w:r>
        <w:t xml:space="preserve"> </w:t>
      </w:r>
      <w:r>
        <w:t xml:space="preserve">HIGH (type+circuit+order), MEDIUM (type+circuit), LOW (type only — flagged for review).</w:t>
      </w:r>
    </w:p>
    <w:bookmarkEnd w:id="22"/>
    <w:bookmarkStart w:id="23" w:name="Xcf0f8dc409a480732bbd8aabdc2b93c8a802a9a"/>
    <w:p>
      <w:pPr>
        <w:pStyle w:val="Heading3"/>
      </w:pPr>
      <w:r>
        <w:t xml:space="preserve">Honest limitation (will be stated in the report, not hidden)</w:t>
      </w:r>
    </w:p>
    <w:p>
      <w:pPr>
        <w:pStyle w:val="FirstParagraph"/>
      </w:pPr>
      <w:r>
        <w:t xml:space="preserve">The design register has</w:t>
      </w:r>
      <w:r>
        <w:t xml:space="preserve"> </w:t>
      </w:r>
      <w:r>
        <w:rPr>
          <w:bCs/>
          <w:b/>
        </w:rPr>
        <w:t xml:space="preserve">no coordinates</w:t>
      </w:r>
      <w:r>
        <w:t xml:space="preserve">, so a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spatial position match is impossible. Matching</w:t>
      </w:r>
      <w:r>
        <w:t xml:space="preserve"> </w:t>
      </w:r>
      <w:r>
        <w:t xml:space="preserve">relies on TYPE + circuit-band + within-group ordering. Expect a meaningful share of MEDIUM/LOW pairs</w:t>
      </w:r>
      <w:r>
        <w:t xml:space="preserve"> </w:t>
      </w:r>
      <w:r>
        <w:t xml:space="preserve">that need engineering sign-off — we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fabricate HIGH-confidence matches.</w:t>
      </w:r>
    </w:p>
    <w:bookmarkEnd w:id="23"/>
    <w:bookmarkStart w:id="24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data/crossmap/design_to_asdrawn.json</w:t>
      </w:r>
      <w:r>
        <w:t xml:space="preserve"> </w:t>
      </w:r>
      <w:r>
        <w:t xml:space="preserve">(bidirectional mapping + reverse index)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data/crossmap/crossmap_confidence.json</w:t>
      </w:r>
      <w:r>
        <w:t xml:space="preserve"> </w:t>
      </w:r>
      <w:r>
        <w:t xml:space="preserve">(per-pair score + reasons)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reports/W006_CROSSMAP_REPORT.md</w:t>
      </w:r>
      <w:r>
        <w:t xml:space="preserve"> </w:t>
      </w:r>
      <w:r>
        <w:t xml:space="preserve">(validation report: tiered tables + unmapped list + recommendations)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reports/W006_crossmap_statistics.json</w:t>
      </w:r>
      <w:r>
        <w:t xml:space="preserve"> </w:t>
      </w:r>
      <w:r>
        <w:t xml:space="preserve">(coverage summary)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data/excel/canonical_register_v2.yaml</w:t>
      </w:r>
      <w:r>
        <w:t xml:space="preserve"> </w:t>
      </w:r>
      <w:r>
        <w:t xml:space="preserve">(canonical register + cross-references)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src/abacus_svg_pid/build_w006_crossmap.py</w:t>
      </w:r>
      <w:r>
        <w:t xml:space="preserve"> </w:t>
      </w:r>
      <w:r>
        <w:t xml:space="preserve">(reproducible engine, wired into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tests/test_w006_crossmap.py</w:t>
      </w:r>
      <w:r>
        <w:t xml:space="preserve"> </w:t>
      </w:r>
      <w:r>
        <w:t xml:space="preserve">(bidirectional lookup, confidence bounds, golden seeds)</w:t>
      </w:r>
    </w:p>
    <w:p>
      <w:pPr>
        <w:numPr>
          <w:ilvl w:val="0"/>
          <w:numId w:val="1003"/>
        </w:numPr>
        <w:pStyle w:val="Compact"/>
      </w:pPr>
      <w:r>
        <w:t xml:space="preserve">Governance updates (</w:t>
      </w:r>
      <w:r>
        <w:rPr>
          <w:rStyle w:val="VerbatimChar"/>
        </w:rPr>
        <w:t xml:space="preserve">wave_status.json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CAPABILITY_MATRIX.md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wave_registry.json</w:t>
      </w:r>
      <w:r>
        <w:t xml:space="preserve">)</w:t>
      </w:r>
    </w:p>
    <w:bookmarkEnd w:id="24"/>
    <w:bookmarkStart w:id="25" w:name="effort-impact"/>
    <w:p>
      <w:pPr>
        <w:pStyle w:val="Heading3"/>
      </w:pPr>
      <w:r>
        <w:t xml:space="preserve">Effort / impact</w:t>
      </w:r>
    </w:p>
    <w:p>
      <w:pPr>
        <w:pStyle w:val="FirstParagraph"/>
      </w:pPr>
      <w:r>
        <w:t xml:space="preserve">1 wave ·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engineering value ·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future waves (W007–W009 traceability builds on this).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bde301ca38e108c1079f997f365d335e77c230c"/>
    <w:p>
      <w:pPr>
        <w:pStyle w:val="Heading2"/>
      </w:pPr>
      <w:r>
        <w:t xml:space="preserve">Option B — Interactive UI Viewer (originally planned W006)</w:t>
      </w:r>
    </w:p>
    <w:bookmarkStart w:id="27" w:name="what-it-provides"/>
    <w:p>
      <w:pPr>
        <w:pStyle w:val="Heading3"/>
      </w:pPr>
      <w:r>
        <w:t xml:space="preserve">What it provides</w:t>
      </w:r>
    </w:p>
    <w:p>
      <w:pPr>
        <w:pStyle w:val="FirstParagraph"/>
      </w:pPr>
      <w:r>
        <w:t xml:space="preserve">A standalone, browser-based P&amp;ID navigator over the existing layered model.</w:t>
      </w:r>
    </w:p>
    <w:bookmarkEnd w:id="27"/>
    <w:bookmarkStart w:id="28" w:name="approach"/>
    <w:p>
      <w:pPr>
        <w:pStyle w:val="Heading3"/>
      </w:pPr>
      <w:r>
        <w:t xml:space="preserve">Approach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 toggle controls</w:t>
      </w:r>
      <w:r>
        <w:t xml:space="preserve"> </w:t>
      </w:r>
      <w:r>
        <w:t xml:space="preserve">— the 21-layer hierarchy with checkboxes (heat loads, spec dots, signals…).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Pan / zoom / search</w:t>
      </w:r>
      <w:r>
        <w:t xml:space="preserve"> </w:t>
      </w:r>
      <w:r>
        <w:t xml:space="preserve">— SVG viewport manipulation; search by tag (</w:t>
      </w:r>
      <w:r>
        <w:rPr>
          <w:rStyle w:val="VerbatimChar"/>
        </w:rPr>
        <w:t xml:space="preserve">CV001</w:t>
      </w:r>
      <w:r>
        <w:t xml:space="preserve"> </w:t>
      </w:r>
      <w:r>
        <w:t xml:space="preserve">→ highlight + zoom).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Metadata popups</w:t>
      </w:r>
      <w:r>
        <w:t xml:space="preserve"> </w:t>
      </w:r>
      <w:r>
        <w:t xml:space="preserve">— click an element → show catalog/reconciliation details.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Comparison views</w:t>
      </w:r>
      <w:r>
        <w:t xml:space="preserve"> </w:t>
      </w:r>
      <w:r>
        <w:t xml:space="preserve">— side-by-side QCELL vs RFCELL; colour-class isolation.</w:t>
      </w:r>
    </w:p>
    <w:bookmarkEnd w:id="28"/>
    <w:bookmarkStart w:id="29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publish/interactive_viewer.html</w:t>
      </w:r>
      <w:r>
        <w:t xml:space="preserve"> </w:t>
      </w:r>
      <w:r>
        <w:t xml:space="preserve">(standalone, no server required)</w:t>
      </w:r>
    </w:p>
    <w:p>
      <w:pPr>
        <w:numPr>
          <w:ilvl w:val="0"/>
          <w:numId w:val="1005"/>
        </w:numPr>
        <w:pStyle w:val="Compact"/>
      </w:pPr>
      <w:r>
        <w:t xml:space="preserve">JavaScript layer-toggle + search/filter engine</w:t>
      </w:r>
    </w:p>
    <w:p>
      <w:pPr>
        <w:numPr>
          <w:ilvl w:val="0"/>
          <w:numId w:val="1005"/>
        </w:numPr>
        <w:pStyle w:val="Compact"/>
      </w:pPr>
      <w:r>
        <w:t xml:space="preserve">Metadata popups (instrument details from the catalog/canonical register)</w:t>
      </w:r>
    </w:p>
    <w:p>
      <w:pPr>
        <w:numPr>
          <w:ilvl w:val="0"/>
          <w:numId w:val="1005"/>
        </w:numPr>
        <w:pStyle w:val="Compact"/>
      </w:pPr>
      <w:r>
        <w:t xml:space="preserve">Per-layer / per-view PNG-PDF export controls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tests/test_w006_viewer.py</w:t>
      </w:r>
      <w:r>
        <w:t xml:space="preserve"> </w:t>
      </w:r>
      <w:r>
        <w:t xml:space="preserve">(data-binding + asset-integrity checks)</w:t>
      </w:r>
    </w:p>
    <w:bookmarkEnd w:id="29"/>
    <w:bookmarkStart w:id="30" w:name="effort-impact-1"/>
    <w:p>
      <w:pPr>
        <w:pStyle w:val="Heading3"/>
      </w:pPr>
      <w:r>
        <w:t xml:space="preserve">Effort / impact</w:t>
      </w:r>
    </w:p>
    <w:p>
      <w:pPr>
        <w:pStyle w:val="FirstParagraph"/>
      </w:pPr>
      <w:r>
        <w:t xml:space="preserve">1 wave ·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value ·</w:t>
      </w:r>
      <w:r>
        <w:t xml:space="preserve"> </w:t>
      </w:r>
      <w:r>
        <w:rPr>
          <w:bCs/>
          <w:b/>
        </w:rPr>
        <w:t xml:space="preserve">blocks nothing</w:t>
      </w:r>
      <w:r>
        <w:t xml:space="preserve"> </w:t>
      </w:r>
      <w:r>
        <w:t xml:space="preserve">(nice-to-have; can be deferred to W007/W008).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ison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Cross-Map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Interactive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HIGH (W005 #1 rec)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W005 canonical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W003/W004 layer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(heuristics + 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(UI/UX + SVG manipulation)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+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Engineers,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stakeholders,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future work?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(W007–W009)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defer?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(critical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Cs/>
          <w:b/>
        </w:rPr>
        <w:t xml:space="preserve">Execute Option A (Cross-Map) first</w:t>
      </w:r>
      <w:r>
        <w:t xml:space="preserve"> </w:t>
      </w:r>
      <w:r>
        <w:t xml:space="preserve">— it closes the critical traceability gap identified in W005 and</w:t>
      </w:r>
      <w:r>
        <w:t xml:space="preserve"> </w:t>
      </w:r>
      <w:r>
        <w:t xml:space="preserve">is a prerequisite for the later waves. Option B can follow in a subsequent wave.</w:t>
      </w:r>
    </w:p>
    <w:bookmarkStart w:id="33" w:name="user-choice"/>
    <w:p>
      <w:pPr>
        <w:pStyle w:val="Heading3"/>
      </w:pPr>
      <w:r>
        <w:t xml:space="preserve">User choice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Option A</w:t>
      </w:r>
      <w:r>
        <w:t xml:space="preserve"> </w:t>
      </w:r>
      <w:r>
        <w:t xml:space="preserve">— Design ↔ As-Drawn Cross-Map (recommended)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Option B</w:t>
      </w:r>
      <w:r>
        <w:t xml:space="preserve"> </w:t>
      </w:r>
      <w:r>
        <w:t xml:space="preserve">— Interactive UI Viewer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(sequential; longer)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(tell me)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2026-06-06T07:55:34Z</dcterms:created>
  <dcterms:modified xsi:type="dcterms:W3CDTF">2026-06-06T07:55:34Z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