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7" w:name="X87898055e9f838116358aa88bd64fa5e1990adf"/>
    <w:p>
      <w:pPr>
        <w:pStyle w:val="Heading1"/>
      </w:pPr>
      <w:r>
        <w:t xml:space="preserve">RENDER_RULES.md — GBOGEB/ABACUS Rendering Governance</w:t>
      </w:r>
    </w:p>
    <w:p>
      <w:pPr>
        <w:pStyle w:val="BlockText"/>
      </w:pPr>
      <w:r>
        <w:rPr>
          <w:bCs/>
          <w:b/>
        </w:rPr>
        <w:t xml:space="preserve">Version:</w:t>
      </w:r>
      <w:r>
        <w:t xml:space="preserve"> </w:t>
      </w:r>
      <w:r>
        <w:t xml:space="preserve">1.0.0</w:t>
      </w:r>
      <w:r>
        <w:br/>
      </w:r>
      <w:r>
        <w:rPr>
          <w:bCs/>
          <w:b/>
        </w:rPr>
        <w:t xml:space="preserve">Authority:</w:t>
      </w:r>
      <w:r>
        <w:t xml:space="preserve"> </w:t>
      </w:r>
      <w:r>
        <w:t xml:space="preserve">GBOGEB Governance Board</w:t>
      </w:r>
      <w:r>
        <w:br/>
      </w:r>
      <w:r>
        <w:rPr>
          <w:bCs/>
          <w:b/>
        </w:rPr>
        <w:t xml:space="preserve">Enforcement:</w:t>
      </w:r>
      <w:r>
        <w:t xml:space="preserve"> </w:t>
      </w:r>
      <w:r>
        <w:t xml:space="preserve">Automated via</w:t>
      </w:r>
      <w:r>
        <w:t xml:space="preserve"> </w:t>
      </w:r>
      <w:r>
        <w:rPr>
          <w:rStyle w:val="VerbatimChar"/>
        </w:rPr>
        <w:t xml:space="preserve">RENDER_LINTER.py</w:t>
      </w:r>
      <w:r>
        <w:t xml:space="preserve"> </w:t>
      </w:r>
      <w:r>
        <w:t xml:space="preserve">+ CI/CD pipeline</w:t>
      </w:r>
      <w:r>
        <w:br/>
      </w:r>
      <w:r>
        <w:rPr>
          <w:bCs/>
          <w:b/>
        </w:rPr>
        <w:t xml:space="preserve">Principle: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Generated outputs are NEVER canonical.</w:t>
      </w:r>
      <w:r>
        <w:rPr>
          <w:iCs/>
          <w:i/>
        </w:rPr>
        <w:t xml:space="preserve">”</w:t>
      </w:r>
    </w:p>
    <w:p>
      <w:r>
        <w:pict>
          <v:rect style="width:0;height:1.5pt" o:hralign="center" o:hrstd="t" o:hr="t"/>
        </w:pict>
      </w:r>
    </w:p>
    <w:bookmarkStart w:id="22" w:name="core-rendering-axioms"/>
    <w:p>
      <w:pPr>
        <w:pStyle w:val="Heading2"/>
      </w:pPr>
      <w:r>
        <w:t xml:space="preserve">§1 Core Rendering Axioms</w:t>
      </w:r>
    </w:p>
    <w:bookmarkStart w:id="20" w:name="canonical-source-authority"/>
    <w:p>
      <w:pPr>
        <w:pStyle w:val="Heading3"/>
      </w:pPr>
      <w:r>
        <w:t xml:space="preserve">1.1 Canonical Source Authority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RULE-001</w:t>
      </w:r>
      <w:r>
        <w:t xml:space="preserve">: All rendered outputs (PPT, PDF, HTML slides) derive from YAML + Markdown source in</w:t>
      </w:r>
      <w:r>
        <w:t xml:space="preserve"> </w:t>
      </w:r>
      <w:r>
        <w:rPr>
          <w:rStyle w:val="VerbatimChar"/>
        </w:rPr>
        <w:t xml:space="preserve">GBOGEB/CODEX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RULE-002</w:t>
      </w:r>
      <w:r>
        <w:t xml:space="preserve">: No manual edits to generated outputs are permitted. Any drift triggers a lineage violation.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RULE-003</w:t>
      </w:r>
      <w:r>
        <w:t xml:space="preserve">: The</w:t>
      </w:r>
      <w:r>
        <w:t xml:space="preserve"> </w:t>
      </w:r>
      <w:r>
        <w:rPr>
          <w:rStyle w:val="VerbatimChar"/>
        </w:rPr>
        <w:t xml:space="preserve">Input_Master/</w:t>
      </w:r>
      <w:r>
        <w:t xml:space="preserve"> </w:t>
      </w:r>
      <w:r>
        <w:t xml:space="preserve">folder is the only ingestion point for binary assets entering the ABACUS pipeline.</w:t>
      </w:r>
    </w:p>
    <w:bookmarkEnd w:id="20"/>
    <w:bookmarkStart w:id="21" w:name="deterministic-output-guarantee"/>
    <w:p>
      <w:pPr>
        <w:pStyle w:val="Heading3"/>
      </w:pPr>
      <w:r>
        <w:t xml:space="preserve">1.2 Deterministic Output Guarantee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RULE-004</w:t>
      </w:r>
      <w:r>
        <w:t xml:space="preserve">: Given identical source inputs and configuration, the renderer MUST produce byte-identical outputs.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RULE-005</w:t>
      </w:r>
      <w:r>
        <w:t xml:space="preserve">: All randomness sources (timestamps, UUIDs) must be seeded or pinned to the git commit SHA.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RULE-006</w:t>
      </w:r>
      <w:r>
        <w:t xml:space="preserve">: Build environment dependencies are locked via</w:t>
      </w:r>
      <w:r>
        <w:t xml:space="preserve"> </w:t>
      </w:r>
      <w:r>
        <w:rPr>
          <w:rStyle w:val="VerbatimChar"/>
        </w:rPr>
        <w:t xml:space="preserve">Gemfile.lock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requirements.txt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6" w:name="layout-governance-rules"/>
    <w:p>
      <w:pPr>
        <w:pStyle w:val="Heading2"/>
      </w:pPr>
      <w:r>
        <w:t xml:space="preserve">§2 Layout Governance Rules</w:t>
      </w:r>
    </w:p>
    <w:bookmarkStart w:id="23" w:name="overflow-prevention"/>
    <w:p>
      <w:pPr>
        <w:pStyle w:val="Heading3"/>
      </w:pPr>
      <w:r>
        <w:t xml:space="preserve">2.1 Overflow Prevention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RULE-010</w:t>
      </w:r>
      <w:r>
        <w:t xml:space="preserve">: No text element shall exceed its bounding container. Overflow is a build-breaking violation.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RULE-011</w:t>
      </w:r>
      <w:r>
        <w:t xml:space="preserve">: Content that exceeds maximum height triggers automatic pagination, never truncation.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RULE-012</w:t>
      </w:r>
      <w:r>
        <w:t xml:space="preserve">: Figures and tables must fit within their designated grid cells without scaling below 60%.</w:t>
      </w:r>
    </w:p>
    <w:bookmarkEnd w:id="23"/>
    <w:bookmarkStart w:id="24" w:name="spacing-constraints"/>
    <w:p>
      <w:pPr>
        <w:pStyle w:val="Heading3"/>
      </w:pPr>
      <w:r>
        <w:t xml:space="preserve">2.2 Spacing Constraints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RULE-020</w:t>
      </w:r>
      <w:r>
        <w:t xml:space="preserve">: Vertical rhythm follows the spacing scale defined in</w:t>
      </w:r>
      <w:r>
        <w:t xml:space="preserve"> </w:t>
      </w:r>
      <w:r>
        <w:rPr>
          <w:rStyle w:val="VerbatimChar"/>
        </w:rPr>
        <w:t xml:space="preserve">LAYOUT_CONTRACTS.yaml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RULE-021</w:t>
      </w:r>
      <w:r>
        <w:t xml:space="preserve">: Minimum margin between any two content blocks: 16px (1rem).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RULE-022</w:t>
      </w:r>
      <w:r>
        <w:t xml:space="preserve">: Section breaks require minimum 32px (2rem) vertical separation.</w:t>
      </w:r>
    </w:p>
    <w:bookmarkEnd w:id="24"/>
    <w:bookmarkStart w:id="25" w:name="heading-hierarchy"/>
    <w:p>
      <w:pPr>
        <w:pStyle w:val="Heading3"/>
      </w:pPr>
      <w:r>
        <w:t xml:space="preserve">2.3 Heading Hierarchy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RULE-030</w:t>
      </w:r>
      <w:r>
        <w:t xml:space="preserve">: Heading levels must be strictly sequential (H1 → H2 → H3). No skipping.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RULE-031</w:t>
      </w:r>
      <w:r>
        <w:t xml:space="preserve">: Each slide/page has exactly ONE H1 element.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RULE-032</w:t>
      </w:r>
      <w:r>
        <w:t xml:space="preserve">: Orphan headings (heading with no following content) are prohibited.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9" w:name="typography-rules"/>
    <w:p>
      <w:pPr>
        <w:pStyle w:val="Heading2"/>
      </w:pPr>
      <w:r>
        <w:t xml:space="preserve">§3 Typography Rules</w:t>
      </w:r>
    </w:p>
    <w:bookmarkStart w:id="27" w:name="font-stack-requirements"/>
    <w:p>
      <w:pPr>
        <w:pStyle w:val="Heading3"/>
      </w:pPr>
      <w:r>
        <w:t xml:space="preserve">3.1 Font Stack Requirements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RULE-040</w:t>
      </w:r>
      <w:r>
        <w:t xml:space="preserve">: Primary typeface: system sans-serif stack for screen, serif for print.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RULE-041</w:t>
      </w:r>
      <w:r>
        <w:t xml:space="preserve">: Minimum body text size: 16px (screen), 10pt (print).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RULE-042</w:t>
      </w:r>
      <w:r>
        <w:t xml:space="preserve">: Maximum heading size: 48px (screen), 36pt (print).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RULE-043</w:t>
      </w:r>
      <w:r>
        <w:t xml:space="preserve">: Line height minimum: 1.4 for body text, 1.2 for headings.</w:t>
      </w:r>
    </w:p>
    <w:bookmarkEnd w:id="27"/>
    <w:bookmarkStart w:id="28" w:name="adaptive-scaling"/>
    <w:p>
      <w:pPr>
        <w:pStyle w:val="Heading3"/>
      </w:pPr>
      <w:r>
        <w:t xml:space="preserve">3.2 Adaptive Scaling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RULE-050</w:t>
      </w:r>
      <w:r>
        <w:t xml:space="preserve">: Font sizes scale with a modular type scale (ratio: 1.25 — Major Third).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RULE-051</w:t>
      </w:r>
      <w:r>
        <w:t xml:space="preserve">: Viewport breakpoints: 320px, 768px, 1024px, 1440px, 1920px.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RULE-052</w:t>
      </w:r>
      <w:r>
        <w:t xml:space="preserve">: No font size below 12px at any viewport.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2" w:name="color-and-contrast-rules"/>
    <w:p>
      <w:pPr>
        <w:pStyle w:val="Heading2"/>
      </w:pPr>
      <w:r>
        <w:t xml:space="preserve">§4 Color and Contrast Rules</w:t>
      </w:r>
    </w:p>
    <w:bookmarkStart w:id="30" w:name="wcag-aa-compliance"/>
    <w:p>
      <w:pPr>
        <w:pStyle w:val="Heading3"/>
      </w:pPr>
      <w:r>
        <w:t xml:space="preserve">4.1 WCAG AA Compliance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RULE-060</w:t>
      </w:r>
      <w:r>
        <w:t xml:space="preserve">: All text/background combinations must achieve WCAG AA (4.5:1) minimum contrast.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RULE-061</w:t>
      </w:r>
      <w:r>
        <w:t xml:space="preserve">: Large text (≥24px or ≥18.66px bold) requires 3:1 minimum contrast.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RULE-062</w:t>
      </w:r>
      <w:r>
        <w:t xml:space="preserve">: UI components and graphical objects require 3:1 contrast against adjacent colors.</w:t>
      </w:r>
    </w:p>
    <w:bookmarkEnd w:id="30"/>
    <w:bookmarkStart w:id="31" w:name="semantic-color-tokens"/>
    <w:p>
      <w:pPr>
        <w:pStyle w:val="Heading3"/>
      </w:pPr>
      <w:r>
        <w:t xml:space="preserve">4.2 Semantic Color Tokens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RULE-070</w:t>
      </w:r>
      <w:r>
        <w:t xml:space="preserve">: Colors are referenced only by semantic tokens (e.g.,</w:t>
      </w:r>
      <w:r>
        <w:t xml:space="preserve"> </w:t>
      </w:r>
      <w:r>
        <w:rPr>
          <w:rStyle w:val="VerbatimChar"/>
        </w:rPr>
        <w:t xml:space="preserve">--color-primary</w:t>
      </w:r>
      <w:r>
        <w:t xml:space="preserve">), never raw hex.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RULE-071</w:t>
      </w:r>
      <w:r>
        <w:t xml:space="preserve">: Theme switching (light/dark) must remap all semantic tokens as defined in</w:t>
      </w:r>
      <w:r>
        <w:t xml:space="preserve"> </w:t>
      </w:r>
      <w:r>
        <w:rPr>
          <w:rStyle w:val="VerbatimChar"/>
        </w:rPr>
        <w:t xml:space="preserve">SEMANTIC_THEME.yaml</w:t>
      </w:r>
      <w:r>
        <w:t xml:space="preserve">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RULE-072</w:t>
      </w:r>
      <w:r>
        <w:t xml:space="preserve">: No color shall carry meaning alone — always pair with shape, label, or pattern.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6" w:name="content-integrity-rules"/>
    <w:p>
      <w:pPr>
        <w:pStyle w:val="Heading2"/>
      </w:pPr>
      <w:r>
        <w:t xml:space="preserve">§5 Content Integrity Rules</w:t>
      </w:r>
    </w:p>
    <w:bookmarkStart w:id="33" w:name="bullet-and-list-governance"/>
    <w:p>
      <w:pPr>
        <w:pStyle w:val="Heading3"/>
      </w:pPr>
      <w:r>
        <w:t xml:space="preserve">5.1 Bullet and List Governance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RULE-080</w:t>
      </w:r>
      <w:r>
        <w:t xml:space="preserve">: No orphan bullets (single-item lists are prohibited).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RULE-081</w:t>
      </w:r>
      <w:r>
        <w:t xml:space="preserve">: Maximum list nesting depth: 3 levels.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RULE-082</w:t>
      </w:r>
      <w:r>
        <w:t xml:space="preserve">: All list items within a group must be grammatically parallel.</w:t>
      </w:r>
    </w:p>
    <w:bookmarkEnd w:id="33"/>
    <w:bookmarkStart w:id="34" w:name="figure-and-table-rules"/>
    <w:p>
      <w:pPr>
        <w:pStyle w:val="Heading3"/>
      </w:pPr>
      <w:r>
        <w:t xml:space="preserve">5.2 Figure and Table Rules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RULE-090</w:t>
      </w:r>
      <w:r>
        <w:t xml:space="preserve">: Every figure must have a</w:t>
      </w:r>
      <w:r>
        <w:t xml:space="preserve"> </w:t>
      </w:r>
      <w:r>
        <w:rPr>
          <w:rStyle w:val="VerbatimChar"/>
        </w:rPr>
        <w:t xml:space="preserve">fig-id</w:t>
      </w:r>
      <w:r>
        <w:t xml:space="preserve">, caption, and alt text.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RULE-091</w:t>
      </w:r>
      <w:r>
        <w:t xml:space="preserve">: Every figure referenced in text must exist; every figure must be referenced.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RULE-092</w:t>
      </w:r>
      <w:r>
        <w:t xml:space="preserve">: Tables require a header row and a</w:t>
      </w:r>
      <w:r>
        <w:t xml:space="preserve"> </w:t>
      </w:r>
      <w:r>
        <w:rPr>
          <w:rStyle w:val="VerbatimChar"/>
        </w:rPr>
        <w:t xml:space="preserve">table-id</w:t>
      </w:r>
      <w:r>
        <w:t xml:space="preserve">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RULE-093</w:t>
      </w:r>
      <w:r>
        <w:t xml:space="preserve">: Data tables must include a source citation.</w:t>
      </w:r>
    </w:p>
    <w:bookmarkEnd w:id="34"/>
    <w:bookmarkStart w:id="35" w:name="speaker-notes-and-cards"/>
    <w:p>
      <w:pPr>
        <w:pStyle w:val="Heading3"/>
      </w:pPr>
      <w:r>
        <w:t xml:space="preserve">5.3 Speaker Notes and Cards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RULE-100</w:t>
      </w:r>
      <w:r>
        <w:t xml:space="preserve">: Every presentation slide requires speaker notes (minimum 50 characters).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RULE-101</w:t>
      </w:r>
      <w:r>
        <w:t xml:space="preserve">: Every slide must include a semantic card (</w:t>
      </w:r>
      <w:r>
        <w:rPr>
          <w:rStyle w:val="VerbatimChar"/>
        </w:rPr>
        <w:t xml:space="preserve">slide_id</w:t>
      </w:r>
      <w:r>
        <w:t xml:space="preserve">,</w:t>
      </w:r>
      <w:r>
        <w:t xml:space="preserve"> </w:t>
      </w:r>
      <w:r>
        <w:rPr>
          <w:rStyle w:val="VerbatimChar"/>
        </w:rPr>
        <w:t xml:space="preserve">purpose</w:t>
      </w:r>
      <w:r>
        <w:t xml:space="preserve">,</w:t>
      </w:r>
      <w:r>
        <w:t xml:space="preserve"> </w:t>
      </w:r>
      <w:r>
        <w:rPr>
          <w:rStyle w:val="VerbatimChar"/>
        </w:rPr>
        <w:t xml:space="preserve">audience</w:t>
      </w:r>
      <w:r>
        <w:t xml:space="preserve">).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RULE-102</w:t>
      </w:r>
      <w:r>
        <w:t xml:space="preserve">: Semantic cards are validated against</w:t>
      </w:r>
      <w:r>
        <w:t xml:space="preserve"> </w:t>
      </w:r>
      <w:r>
        <w:rPr>
          <w:rStyle w:val="VerbatimChar"/>
        </w:rPr>
        <w:t xml:space="preserve">LINEAGE_SCHEMA.yaml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9" w:name="lineage-and-traceability-rules"/>
    <w:p>
      <w:pPr>
        <w:pStyle w:val="Heading2"/>
      </w:pPr>
      <w:r>
        <w:t xml:space="preserve">§6 Lineage and Traceability Rules</w:t>
      </w:r>
    </w:p>
    <w:bookmarkStart w:id="37" w:name="slide-identity"/>
    <w:p>
      <w:pPr>
        <w:pStyle w:val="Heading3"/>
      </w:pPr>
      <w:r>
        <w:t xml:space="preserve">6.1 Slide Identity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RULE-110</w:t>
      </w:r>
      <w:r>
        <w:t xml:space="preserve">: Every slide must have a deterministic</w:t>
      </w:r>
      <w:r>
        <w:t xml:space="preserve"> </w:t>
      </w:r>
      <w:r>
        <w:rPr>
          <w:rStyle w:val="VerbatimChar"/>
        </w:rPr>
        <w:t xml:space="preserve">slide_id</w:t>
      </w:r>
      <w:r>
        <w:t xml:space="preserve"> </w:t>
      </w:r>
      <w:r>
        <w:t xml:space="preserve">following the pattern:</w:t>
      </w:r>
      <w:r>
        <w:t xml:space="preserve"> </w:t>
      </w:r>
      <w:r>
        <w:rPr>
          <w:rStyle w:val="VerbatimChar"/>
        </w:rPr>
        <w:t xml:space="preserve">{deck}-{section}-{sequence}</w:t>
      </w:r>
      <w:r>
        <w:t xml:space="preserve">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RULE-111</w:t>
      </w:r>
      <w:r>
        <w:t xml:space="preserve">: Slide IDs are immutable once assigned. Renumbering requires a lineage migration record.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RULE-112</w:t>
      </w:r>
      <w:r>
        <w:t xml:space="preserve">: The</w:t>
      </w:r>
      <w:r>
        <w:t xml:space="preserve"> </w:t>
      </w:r>
      <w:r>
        <w:rPr>
          <w:rStyle w:val="VerbatimChar"/>
        </w:rPr>
        <w:t xml:space="preserve">SLIDE_ID_ENFORCER.py</w:t>
      </w:r>
      <w:r>
        <w:t xml:space="preserve"> </w:t>
      </w:r>
      <w:r>
        <w:t xml:space="preserve">validates all slides before merge.</w:t>
      </w:r>
    </w:p>
    <w:bookmarkEnd w:id="37"/>
    <w:bookmarkStart w:id="38" w:name="lineage-tracking"/>
    <w:p>
      <w:pPr>
        <w:pStyle w:val="Heading3"/>
      </w:pPr>
      <w:r>
        <w:t xml:space="preserve">6.2 Lineage Tracking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RULE-120</w:t>
      </w:r>
      <w:r>
        <w:t xml:space="preserve">: Every generated output must be traceable to its source via</w:t>
      </w:r>
      <w:r>
        <w:t xml:space="preserve"> </w:t>
      </w:r>
      <w:r>
        <w:rPr>
          <w:rStyle w:val="VerbatimChar"/>
        </w:rPr>
        <w:t xml:space="preserve">lineage_manifest.json</w:t>
      </w:r>
      <w:r>
        <w:t xml:space="preserve">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RULE-121</w:t>
      </w:r>
      <w:r>
        <w:t xml:space="preserve">: Lineage records include:</w:t>
      </w:r>
      <w:r>
        <w:t xml:space="preserve"> </w:t>
      </w:r>
      <w:r>
        <w:rPr>
          <w:rStyle w:val="VerbatimChar"/>
        </w:rPr>
        <w:t xml:space="preserve">slide_id</w:t>
      </w:r>
      <w:r>
        <w:t xml:space="preserve">,</w:t>
      </w:r>
      <w:r>
        <w:t xml:space="preserve"> </w:t>
      </w:r>
      <w:r>
        <w:rPr>
          <w:rStyle w:val="VerbatimChar"/>
        </w:rPr>
        <w:t xml:space="preserve">derived_from</w:t>
      </w:r>
      <w:r>
        <w:t xml:space="preserve">,</w:t>
      </w:r>
      <w:r>
        <w:t xml:space="preserve"> </w:t>
      </w:r>
      <w:r>
        <w:rPr>
          <w:rStyle w:val="VerbatimChar"/>
        </w:rPr>
        <w:t xml:space="preserve">generated_outputs</w:t>
      </w:r>
      <w:r>
        <w:t xml:space="preserve">,</w:t>
      </w:r>
      <w:r>
        <w:t xml:space="preserve"> </w:t>
      </w:r>
      <w:r>
        <w:rPr>
          <w:rStyle w:val="VerbatimChar"/>
        </w:rPr>
        <w:t xml:space="preserve">render_commit</w:t>
      </w:r>
      <w:r>
        <w:t xml:space="preserve">,</w:t>
      </w:r>
      <w:r>
        <w:t xml:space="preserve"> </w:t>
      </w:r>
      <w:r>
        <w:rPr>
          <w:rStyle w:val="VerbatimChar"/>
        </w:rPr>
        <w:t xml:space="preserve">generated_at</w:t>
      </w:r>
      <w:r>
        <w:t xml:space="preserve">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RULE-122</w:t>
      </w:r>
      <w:r>
        <w:t xml:space="preserve">: SHA256 hashes are computed for all binary assets at ingestion.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RULE-123</w:t>
      </w:r>
      <w:r>
        <w:t xml:space="preserve">:</w:t>
      </w:r>
      <w:r>
        <w:t xml:space="preserve"> </w:t>
      </w:r>
      <w:r>
        <w:rPr>
          <w:rStyle w:val="VerbatimChar"/>
        </w:rPr>
        <w:t xml:space="preserve">.mock</w:t>
      </w:r>
      <w:r>
        <w:t xml:space="preserve"> </w:t>
      </w:r>
      <w:r>
        <w:t xml:space="preserve">sidecar files are the immutable metadata containers for</w:t>
      </w:r>
      <w:r>
        <w:t xml:space="preserve"> </w:t>
      </w:r>
      <w:r>
        <w:rPr>
          <w:rStyle w:val="VerbatimChar"/>
        </w:rPr>
        <w:t xml:space="preserve">Input_Master/</w:t>
      </w:r>
      <w:r>
        <w:t xml:space="preserve"> </w:t>
      </w:r>
      <w:r>
        <w:t xml:space="preserve">assets.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2" w:name="build-and-cicd-rules"/>
    <w:p>
      <w:pPr>
        <w:pStyle w:val="Heading2"/>
      </w:pPr>
      <w:r>
        <w:t xml:space="preserve">§7 Build and CI/CD Rules</w:t>
      </w:r>
    </w:p>
    <w:bookmarkStart w:id="40" w:name="pre-merge-validation"/>
    <w:p>
      <w:pPr>
        <w:pStyle w:val="Heading3"/>
      </w:pPr>
      <w:r>
        <w:t xml:space="preserve">7.1 Pre-Merge Validation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RULE-130</w:t>
      </w:r>
      <w:r>
        <w:t xml:space="preserve">: All PRs must pass</w:t>
      </w:r>
      <w:r>
        <w:t xml:space="preserve"> </w:t>
      </w:r>
      <w:r>
        <w:rPr>
          <w:rStyle w:val="VerbatimChar"/>
        </w:rPr>
        <w:t xml:space="preserve">RENDER_LINTER.py</w:t>
      </w:r>
      <w:r>
        <w:t xml:space="preserve"> </w:t>
      </w:r>
      <w:r>
        <w:t xml:space="preserve">with zero errors.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RULE-131</w:t>
      </w:r>
      <w:r>
        <w:t xml:space="preserve">: All PRs must pass</w:t>
      </w:r>
      <w:r>
        <w:t xml:space="preserve"> </w:t>
      </w:r>
      <w:r>
        <w:rPr>
          <w:rStyle w:val="VerbatimChar"/>
        </w:rPr>
        <w:t xml:space="preserve">WCAG_CONTRAST_CHECKER.py</w:t>
      </w:r>
      <w:r>
        <w:t xml:space="preserve"> </w:t>
      </w:r>
      <w:r>
        <w:t xml:space="preserve">with zero AA violations.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RULE-132</w:t>
      </w:r>
      <w:r>
        <w:t xml:space="preserve">: All PRs must pass</w:t>
      </w:r>
      <w:r>
        <w:t xml:space="preserve"> </w:t>
      </w:r>
      <w:r>
        <w:rPr>
          <w:rStyle w:val="VerbatimChar"/>
        </w:rPr>
        <w:t xml:space="preserve">SLIDE_ID_ENFORCER.py</w:t>
      </w:r>
      <w:r>
        <w:t xml:space="preserve"> </w:t>
      </w:r>
      <w:r>
        <w:t xml:space="preserve">with zero missing IDs.</w:t>
      </w:r>
    </w:p>
    <w:bookmarkEnd w:id="40"/>
    <w:bookmarkStart w:id="41" w:name="review-requirements"/>
    <w:p>
      <w:pPr>
        <w:pStyle w:val="Heading3"/>
      </w:pPr>
      <w:r>
        <w:t xml:space="preserve">7.2 Review Requirements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RULE-140</w:t>
      </w:r>
      <w:r>
        <w:t xml:space="preserve">: Changes to</w:t>
      </w:r>
      <w:r>
        <w:t xml:space="preserve"> </w:t>
      </w:r>
      <w:r>
        <w:rPr>
          <w:rStyle w:val="VerbatimChar"/>
        </w:rPr>
        <w:t xml:space="preserve">engines/</w:t>
      </w:r>
      <w:r>
        <w:t xml:space="preserve"> </w:t>
      </w:r>
      <w:r>
        <w:t xml:space="preserve">require review from</w:t>
      </w:r>
      <w:r>
        <w:t xml:space="preserve"> </w:t>
      </w:r>
      <w:r>
        <w:rPr>
          <w:rStyle w:val="VerbatimChar"/>
        </w:rPr>
        <w:t xml:space="preserve">@governance-team</w:t>
      </w:r>
      <w:r>
        <w:t xml:space="preserve">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RULE-141</w:t>
      </w:r>
      <w:r>
        <w:t xml:space="preserve">: Changes to</w:t>
      </w:r>
      <w:r>
        <w:t xml:space="preserve"> </w:t>
      </w:r>
      <w:r>
        <w:rPr>
          <w:rStyle w:val="VerbatimChar"/>
        </w:rPr>
        <w:t xml:space="preserve">RENDER_RULES.md</w:t>
      </w:r>
      <w:r>
        <w:t xml:space="preserve"> </w:t>
      </w:r>
      <w:r>
        <w:t xml:space="preserve">require review from</w:t>
      </w:r>
      <w:r>
        <w:t xml:space="preserve"> </w:t>
      </w:r>
      <w:r>
        <w:rPr>
          <w:rStyle w:val="VerbatimChar"/>
        </w:rPr>
        <w:t xml:space="preserve">@architecture-team</w:t>
      </w:r>
      <w:r>
        <w:t xml:space="preserve">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RULE-142</w:t>
      </w:r>
      <w:r>
        <w:t xml:space="preserve">: Changes to</w:t>
      </w:r>
      <w:r>
        <w:t xml:space="preserve"> </w:t>
      </w:r>
      <w:r>
        <w:rPr>
          <w:rStyle w:val="VerbatimChar"/>
        </w:rPr>
        <w:t xml:space="preserve">_config.yml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config/</w:t>
      </w:r>
      <w:r>
        <w:t xml:space="preserve"> </w:t>
      </w:r>
      <w:r>
        <w:t xml:space="preserve">require review from</w:t>
      </w:r>
      <w:r>
        <w:t xml:space="preserve"> </w:t>
      </w:r>
      <w:r>
        <w:rPr>
          <w:rStyle w:val="VerbatimChar"/>
        </w:rPr>
        <w:t xml:space="preserve">@platform-team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4" w:name="stakeholder-routing-rules"/>
    <w:p>
      <w:pPr>
        <w:pStyle w:val="Heading2"/>
      </w:pPr>
      <w:r>
        <w:t xml:space="preserve">§8 Stakeholder Routing Rules</w:t>
      </w:r>
    </w:p>
    <w:bookmarkStart w:id="43" w:name="distribution-tags"/>
    <w:p>
      <w:pPr>
        <w:pStyle w:val="Heading3"/>
      </w:pPr>
      <w:r>
        <w:t xml:space="preserve">8.1 Distribution Tags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RULE-150</w:t>
      </w:r>
      <w:r>
        <w:t xml:space="preserve">: All outputs must be tagged with distribution targets:</w:t>
      </w:r>
      <w:r>
        <w:t xml:space="preserve"> </w:t>
      </w:r>
      <w:r>
        <w:rPr>
          <w:rStyle w:val="VerbatimChar"/>
        </w:rPr>
        <w:t xml:space="preserve">[KEB]</w:t>
      </w:r>
      <w:r>
        <w:t xml:space="preserve">,</w:t>
      </w:r>
      <w:r>
        <w:t xml:space="preserve"> </w:t>
      </w:r>
      <w:r>
        <w:rPr>
          <w:rStyle w:val="VerbatimChar"/>
        </w:rPr>
        <w:t xml:space="preserve">[DOW]</w:t>
      </w:r>
      <w:r>
        <w:t xml:space="preserve">, or</w:t>
      </w:r>
      <w:r>
        <w:t xml:space="preserve"> </w:t>
      </w:r>
      <w:r>
        <w:rPr>
          <w:rStyle w:val="VerbatimChar"/>
        </w:rPr>
        <w:t xml:space="preserve">[ALL]</w:t>
      </w:r>
      <w:r>
        <w:t xml:space="preserve">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RULE-151</w:t>
      </w:r>
      <w:r>
        <w:t xml:space="preserve">:</w:t>
      </w:r>
      <w:r>
        <w:t xml:space="preserve"> </w:t>
      </w:r>
      <w:r>
        <w:rPr>
          <w:rStyle w:val="VerbatimChar"/>
        </w:rPr>
        <w:t xml:space="preserve">[KEB]</w:t>
      </w:r>
      <w:r>
        <w:t xml:space="preserve"> </w:t>
      </w:r>
      <w:r>
        <w:t xml:space="preserve">outputs include executive summaries and high-level architecture views.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RULE-152</w:t>
      </w:r>
      <w:r>
        <w:t xml:space="preserve">:</w:t>
      </w:r>
      <w:r>
        <w:t xml:space="preserve"> </w:t>
      </w:r>
      <w:r>
        <w:rPr>
          <w:rStyle w:val="VerbatimChar"/>
        </w:rPr>
        <w:t xml:space="preserve">[DOW]</w:t>
      </w:r>
      <w:r>
        <w:t xml:space="preserve"> </w:t>
      </w:r>
      <w:r>
        <w:t xml:space="preserve">outputs include detailed technical specifications and implementation guides.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RULE-153</w:t>
      </w:r>
      <w:r>
        <w:t xml:space="preserve">: Routing metadata is embedded in the semantic card of each slide/page.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5" w:name="appendix-a-severity-levels"/>
    <w:p>
      <w:pPr>
        <w:pStyle w:val="Heading2"/>
      </w:pPr>
      <w:r>
        <w:t xml:space="preserve">Appendix A: Severity Levels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100"/>
        <w:gridCol w:w="1870"/>
        <w:gridCol w:w="495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Block merge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Overflow, missing slide_id, contrast fail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WARNING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 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Orphan bullet, missing speaker 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INFO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Suboptimal spacing, font size near minimum</w:t>
            </w:r>
          </w:p>
        </w:tc>
      </w:tr>
    </w:tbl>
    <w:bookmarkEnd w:id="45"/>
    <w:bookmarkStart w:id="46" w:name="appendix-b-rule-index"/>
    <w:p>
      <w:pPr>
        <w:pStyle w:val="Heading2"/>
      </w:pPr>
      <w:r>
        <w:t xml:space="preserve">Appendix B: Rule Index</w:t>
      </w:r>
    </w:p>
    <w:p>
      <w:pPr>
        <w:pStyle w:val="FirstParagraph"/>
      </w:pPr>
      <w:r>
        <w:t xml:space="preserve">All rules are machine-enforceable. See</w:t>
      </w:r>
      <w:r>
        <w:t xml:space="preserve"> </w:t>
      </w:r>
      <w:r>
        <w:rPr>
          <w:rStyle w:val="VerbatimChar"/>
        </w:rPr>
        <w:t xml:space="preserve">RENDER_LINTER.py</w:t>
      </w:r>
      <w:r>
        <w:t xml:space="preserve"> </w:t>
      </w:r>
      <w:r>
        <w:t xml:space="preserve">for implementation.</w:t>
      </w:r>
      <w:r>
        <w:t xml:space="preserve"> </w:t>
      </w:r>
      <w:r>
        <w:t xml:space="preserve">Rules prefixed with</w:t>
      </w:r>
      <w:r>
        <w:t xml:space="preserve"> </w:t>
      </w:r>
      <w:r>
        <w:rPr>
          <w:rStyle w:val="VerbatimChar"/>
        </w:rPr>
        <w:t xml:space="preserve">RULE-0xx</w:t>
      </w:r>
      <w:r>
        <w:t xml:space="preserve"> </w:t>
      </w:r>
      <w:r>
        <w:t xml:space="preserve">are layout/typography.</w:t>
      </w:r>
      <w:r>
        <w:t xml:space="preserve"> </w:t>
      </w:r>
      <w:r>
        <w:rPr>
          <w:rStyle w:val="VerbatimChar"/>
        </w:rPr>
        <w:t xml:space="preserve">RULE-1xx</w:t>
      </w:r>
      <w:r>
        <w:t xml:space="preserve"> </w:t>
      </w:r>
      <w:r>
        <w:t xml:space="preserve">are content/lineage.</w:t>
      </w:r>
    </w:p>
    <w:bookmarkEnd w:id="46"/>
    <w:bookmarkEnd w:id="4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2026-05-20T07:47:18Z</dcterms:created>
  <dcterms:modified xsi:type="dcterms:W3CDTF">2026-05-20T07:47:18Z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