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Roadmap</w:t>
      </w:r>
      <w:r>
        <w:t xml:space="preserve"> </w:t>
      </w:r>
      <w:r>
        <w:t xml:space="preserve">&amp;</w:t>
      </w:r>
      <w:r>
        <w:t xml:space="preserve"> </w:t>
      </w:r>
      <w:r>
        <w:t xml:space="preserve">Next</w:t>
      </w:r>
      <w:r>
        <w:t xml:space="preserve"> </w:t>
      </w:r>
      <w:r>
        <w:t xml:space="preserve">Steps</w:t>
      </w:r>
    </w:p>
    <w:p>
      <w:pPr>
        <w:pStyle w:val="Subtitle"/>
      </w:pPr>
      <w:r>
        <w:t xml:space="preserve">Canonical</w:t>
      </w:r>
      <w:r>
        <w:t xml:space="preserve"> </w:t>
      </w:r>
      <w:r>
        <w:t xml:space="preserve">decomposition</w:t>
      </w:r>
      <w:r>
        <w:t xml:space="preserve"> </w:t>
      </w:r>
      <w:r>
        <w:t xml:space="preserve">(Slide</w:t>
      </w:r>
    </w:p>
    <w:bookmarkStart w:id="20" w:name="myrrha-qplant"/>
    <w:p>
      <w:pPr>
        <w:pStyle w:val="Heading1"/>
      </w:pPr>
      <w:r>
        <w:t xml:space="preserve">MYRRHA QPLANT</w:t>
      </w:r>
    </w:p>
    <w:p>
      <w:pPr>
        <w:pStyle w:val="FirstParagraph"/>
      </w:pPr>
      <w:r>
        <w:rPr>
          <w:bCs/>
          <w:b/>
        </w:rPr>
        <w:t xml:space="preserve">Engineering Handover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v0.4</w:t>
      </w:r>
    </w:p>
    <w:p>
      <w:pPr>
        <w:pStyle w:val="BodyText"/>
      </w:pPr>
      <w:r>
        <w:t xml:space="preserve">Baseline:</w:t>
      </w:r>
      <w:r>
        <w:t xml:space="preserve"> </w:t>
      </w:r>
      <w:r>
        <w:rPr>
          <w:bCs/>
          <w:b/>
        </w:rPr>
        <w:t xml:space="preserve">350 g/s @ 14 barG</w:t>
      </w:r>
      <w:r>
        <w:t xml:space="preserve"> </w:t>
      </w:r>
      <w:r>
        <w:t xml:space="preserve">(see B1)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B1</w:t>
      </w:r>
      <w:r>
        <w:t xml:space="preserve"> </w:t>
      </w:r>
      <w:r>
        <w:t xml:space="preserve">Baseline: 350 g/s @ 14 barG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B2</w:t>
      </w:r>
      <w:r>
        <w:t xml:space="preserve"> </w:t>
      </w:r>
      <w:r>
        <w:t xml:space="preserve">ALaT: 2 FSD · SFC 575 · 72 Hz → ~220 g/s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B3</w:t>
      </w:r>
      <w:r>
        <w:t xml:space="preserve"> </w:t>
      </w:r>
      <w:r>
        <w:t xml:space="preserve">LKT: 3 FSD · SFC 475 · ~57 Hz → 264 g/s nominal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B4</w:t>
      </w:r>
      <w:r>
        <w:t xml:space="preserve"> </w:t>
      </w:r>
      <w:r>
        <w:t xml:space="preserve">RCW: 85 °C max · 30 °C inlet · ΔT = 25 °C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B5</w:t>
      </w:r>
      <w:r>
        <w:t xml:space="preserve"> </w:t>
      </w:r>
      <w:r>
        <w:t xml:space="preserve">LCC/PVPS: 50 g/s · 2×5 units (N+1)</w:t>
      </w:r>
    </w:p>
    <w:p>
      <w:pPr>
        <w:pStyle w:val="SourceCode"/>
      </w:pPr>
      <w:r>
        <w:rPr>
          <w:rStyle w:val="VerbatimChar"/>
        </w:rPr>
        <w:t xml:space="preserve">QPLANT</w:t>
      </w:r>
      <w:r>
        <w:br/>
      </w:r>
      <w:r>
        <w:rPr>
          <w:rStyle w:val="VerbatimChar"/>
        </w:rPr>
        <w:t xml:space="preserve">├── QRB (cold side &amp; coldbox)</w:t>
      </w:r>
      <w:r>
        <w:br/>
      </w:r>
      <w:r>
        <w:rPr>
          <w:rStyle w:val="VerbatimChar"/>
        </w:rPr>
        <w:t xml:space="preserve">└── WCS (warm side &amp; warm compressor station)</w:t>
      </w:r>
      <w:r>
        <w:br/>
      </w:r>
      <w:r>
        <w:rPr>
          <w:rStyle w:val="VerbatimChar"/>
        </w:rPr>
        <w:t xml:space="preserve">    ├── HCC (LP→HP total, black box with utilities)</w:t>
      </w:r>
      <w:r>
        <w:br/>
      </w:r>
      <w:r>
        <w:rPr>
          <w:rStyle w:val="VerbatimChar"/>
        </w:rPr>
        <w:t xml:space="preserve">    │   ├── HP1 (Kaeser SKID 1)</w:t>
      </w:r>
      <w:r>
        <w:br/>
      </w:r>
      <w:r>
        <w:rPr>
          <w:rStyle w:val="VerbatimChar"/>
        </w:rPr>
        <w:t xml:space="preserve">    │   ├── HP2 (Kaeser SKID 2)</w:t>
      </w:r>
      <w:r>
        <w:br/>
      </w:r>
      <w:r>
        <w:rPr>
          <w:rStyle w:val="VerbatimChar"/>
        </w:rPr>
        <w:t xml:space="preserve">    │   ├── HP3 (Kaeser SKID 3)</w:t>
      </w:r>
      <w:r>
        <w:br/>
      </w:r>
      <w:r>
        <w:rPr>
          <w:rStyle w:val="VerbatimChar"/>
        </w:rPr>
        <w:t xml:space="preserve">    │   └── HP4 (Kaeser SKID 4)</w:t>
      </w:r>
      <w:r>
        <w:br/>
      </w:r>
      <w:r>
        <w:rPr>
          <w:rStyle w:val="VerbatimChar"/>
        </w:rPr>
        <w:t xml:space="preserve">    └── LCC (PVPS - 50 g/s target)</w:t>
      </w:r>
      <w:r>
        <w:br/>
      </w:r>
      <w:r>
        <w:rPr>
          <w:rStyle w:val="VerbatimChar"/>
        </w:rPr>
        <w:t xml:space="preserve">        └── 2×5 units (10 total, N+1 config)</w:t>
      </w:r>
    </w:p>
    <w:p>
      <w:pPr>
        <w:pStyle w:val="FirstParagraph"/>
      </w:pPr>
      <w:r>
        <w:t xml:space="preserve">Cross-refs: see</w:t>
      </w:r>
      <w:r>
        <w:t xml:space="preserve"> </w:t>
      </w:r>
      <w:r>
        <w:rPr>
          <w:bCs/>
          <w:b/>
        </w:rPr>
        <w:t xml:space="preserve">T1</w:t>
      </w:r>
      <w:r>
        <w:t xml:space="preserve"> </w:t>
      </w:r>
      <w:r>
        <w:t xml:space="preserve">(tables.html) and</w:t>
      </w:r>
      <w:r>
        <w:t xml:space="preserve"> </w:t>
      </w:r>
      <w:r>
        <w:rPr>
          <w:bCs/>
          <w:b/>
        </w:rPr>
        <w:t xml:space="preserve">G1</w:t>
      </w:r>
      <w:r>
        <w:t xml:space="preserve"> </w:t>
      </w:r>
      <w:r>
        <w:t xml:space="preserve">(graphs.html).</w:t>
      </w:r>
    </w:p>
    <w:p>
      <w:pPr>
        <w:pStyle w:val="BodyText"/>
      </w:pPr>
      <w:r>
        <w:t xml:space="preserve">The reference point</w:t>
      </w:r>
      <w:r>
        <w:t xml:space="preserve"> </w:t>
      </w:r>
      <w:r>
        <w:rPr>
          <w:bCs/>
          <w:b/>
        </w:rPr>
        <w:t xml:space="preserve">B1 = 350 g/s @ 14 barG</w:t>
      </w:r>
      <w:r>
        <w:t xml:space="preserve"> </w:t>
      </w:r>
      <w:r>
        <w:t xml:space="preserve">anchors HCC + LCC delivery.</w:t>
      </w:r>
    </w:p>
    <w:p>
      <w:pPr>
        <w:numPr>
          <w:ilvl w:val="0"/>
          <w:numId w:val="1002"/>
        </w:numPr>
        <w:pStyle w:val="Compact"/>
      </w:pPr>
      <w:r>
        <w:t xml:space="preserve">Validate B2/B3 on test bench</w:t>
      </w:r>
    </w:p>
    <w:p>
      <w:pPr>
        <w:numPr>
          <w:ilvl w:val="0"/>
          <w:numId w:val="1002"/>
        </w:numPr>
        <w:pStyle w:val="Compact"/>
      </w:pPr>
      <w:r>
        <w:t xml:space="preserve">Finalize LCC unit-level P&amp;IDs</w:t>
      </w:r>
    </w:p>
    <w:p>
      <w:pPr>
        <w:numPr>
          <w:ilvl w:val="0"/>
          <w:numId w:val="1002"/>
        </w:numPr>
        <w:pStyle w:val="Compact"/>
      </w:pPr>
      <w:r>
        <w:t xml:space="preserve">Lock RCW heat-exchanger sizing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&amp; Next Steps</dc:title>
  <dc:creator/>
  <cp:keywords/>
  <dcterms:created xsi:type="dcterms:W3CDTF">2026-05-10T18:24:34Z</dcterms:created>
  <dcterms:modified xsi:type="dcterms:W3CDTF">2026-05-10T18:24:34Z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">
    <vt:lpwstr>F1 — System decomposition tree</vt:lpwstr>
  </property>
  <property fmtid="{D5CDD505-2E9C-101B-9397-08002B2CF9AE}" pid="3" name="id">
    <vt:lpwstr>roadmap</vt:lpwstr>
  </property>
  <property fmtid="{D5CDD505-2E9C-101B-9397-08002B2CF9AE}" pid="4" name="layout">
    <vt:lpwstr>text-only</vt:lpwstr>
  </property>
  <property fmtid="{D5CDD505-2E9C-101B-9397-08002B2CF9AE}" pid="5" name="notes">
    <vt:lpwstr>TODO: schedule v0.5 review with full team.</vt:lpwstr>
  </property>
  <property fmtid="{D5CDD505-2E9C-101B-9397-08002B2CF9AE}" pid="6" name="subtitle">
    <vt:lpwstr>Canonical decomposition (Slide</vt:lpwstr>
  </property>
</Properties>
</file>