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f800d993271d1756f5f475b35ee894ebd87194"/>
    <w:p>
      <w:pPr>
        <w:pStyle w:val="Heading1"/>
      </w:pPr>
      <w:r>
        <w:t xml:space="preserve">AGENTS.md — MINERVA QCELL P&amp;ID (Colour-Line-First Pipeline)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Decompose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QCELL / RFCELL P&amp;ID SVG drawings into</w:t>
      </w:r>
      <w:r>
        <w:t xml:space="preserve"> </w:t>
      </w:r>
      <w:r>
        <w:rPr>
          <w:bCs/>
          <w:b/>
        </w:rPr>
        <w:t xml:space="preserve">colour-defined</w:t>
      </w:r>
      <w:r>
        <w:rPr>
          <w:bCs/>
          <w:b/>
        </w:rPr>
        <w:t xml:space="preserve"> </w:t>
      </w:r>
      <w:r>
        <w:rPr>
          <w:bCs/>
          <w:b/>
        </w:rPr>
        <w:t xml:space="preserve">process lines</w:t>
      </w:r>
      <w:r>
        <w:t xml:space="preserve">, preserving each line’s sequence and scope/boundary context, so</w:t>
      </w:r>
      <w:r>
        <w:t xml:space="preserve"> </w:t>
      </w:r>
      <w:r>
        <w:t xml:space="preserve">the lines can be isolated, reviewed, and reassembled into the full P&amp;ID without</w:t>
      </w:r>
      <w:r>
        <w:t xml:space="preserve"> </w:t>
      </w:r>
      <w:r>
        <w:t xml:space="preserve">losing engineering meaning. The success metric is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we isolate each</w:t>
      </w:r>
      <w:r>
        <w:rPr>
          <w:iCs/>
          <w:i/>
        </w:rPr>
        <w:t xml:space="preserve"> </w:t>
      </w:r>
      <w:r>
        <w:rPr>
          <w:iCs/>
          <w:i/>
        </w:rPr>
        <w:t xml:space="preserve">colour/process line and roll it back into the full P&amp;ID</w:t>
      </w:r>
      <w:r>
        <w:rPr>
          <w:iCs/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tag count.</w:t>
      </w:r>
    </w:p>
    <w:bookmarkEnd w:id="20"/>
    <w:bookmarkStart w:id="21" w:name="Xba63740e940362b85b29352e0875c52dfda9f9f"/>
    <w:p>
      <w:pPr>
        <w:pStyle w:val="Heading2"/>
      </w:pPr>
      <w:r>
        <w:t xml:space="preserve">Colour-first pipeline (the only supported flow)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Ingest</w:t>
      </w:r>
      <w:r>
        <w:t xml:space="preserve"> </w:t>
      </w:r>
      <w:r>
        <w:t xml:space="preserve">— copy real sources into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 </w:t>
      </w:r>
      <w:r>
        <w:t xml:space="preserve">(STOP if &lt; 2 SVGs). PDF →</w:t>
      </w:r>
      <w:r>
        <w:t xml:space="preserve"> </w:t>
      </w:r>
      <w:r>
        <w:rPr>
          <w:rStyle w:val="VerbatimChar"/>
        </w:rPr>
        <w:t xml:space="preserve">data/pdf/</w:t>
      </w:r>
      <w:r>
        <w:t xml:space="preserve">, PPTX →</w:t>
      </w:r>
      <w:r>
        <w:t xml:space="preserve"> </w:t>
      </w:r>
      <w:r>
        <w:rPr>
          <w:rStyle w:val="VerbatimChar"/>
        </w:rPr>
        <w:t xml:space="preserve">data/ppt/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Extract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parser.extract_elements()</w:t>
      </w:r>
      <w:r>
        <w:t xml:space="preserve"> </w:t>
      </w:r>
      <w:r>
        <w:t xml:space="preserve">walks every drawable element and</w:t>
      </w:r>
      <w:r>
        <w:t xml:space="preserve"> </w:t>
      </w:r>
      <w:r>
        <w:t xml:space="preserve">reads colour/style with</w:t>
      </w:r>
      <w:r>
        <w:t xml:space="preserve"> </w:t>
      </w:r>
      <w:r>
        <w:rPr>
          <w:bCs/>
          <w:b/>
        </w:rPr>
        <w:t xml:space="preserve">inline-style precedence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style.get(key) or elem.attrib.get(key)</w:t>
      </w:r>
      <w:r>
        <w:t xml:space="preserve"> </w:t>
      </w:r>
      <w:r>
        <w:t xml:space="preserve">(inline style wins). The effective</w:t>
      </w:r>
      <w:r>
        <w:t xml:space="preserve"> </w:t>
      </w:r>
      <w:r>
        <w:t xml:space="preserve">process colour is the stroke if present, else the fill.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Cluster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parser.classify_colour()</w:t>
      </w:r>
      <w:r>
        <w:t xml:space="preserve"> </w:t>
      </w:r>
      <w:r>
        <w:t xml:space="preserve">assigns each colour to the nearest</w:t>
      </w:r>
      <w:r>
        <w:t xml:space="preserve"> </w:t>
      </w:r>
      <w:r>
        <w:t xml:space="preserve">canonical anchor by RGB distance (not exact hex):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BLUE / NAVY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/ A′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4.5 K main line + internal branch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CYAN / TEAL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 / B′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 K internal line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coupler (splits from BLUE A inside QM)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OLIVE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warm S line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vent line (per module, to outside)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RED / ORANGE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 / 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warm/cold manifold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boundary / symbols / unknown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unresolved (flagged, e.g. magenta)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Model</w:t>
      </w:r>
      <w:r>
        <w:t xml:space="preserve"> </w:t>
      </w:r>
      <w:r>
        <w:t xml:space="preserve">— emit</w:t>
      </w:r>
      <w:r>
        <w:t xml:space="preserve"> </w:t>
      </w:r>
      <w:r>
        <w:rPr>
          <w:rStyle w:val="VerbatimChar"/>
        </w:rPr>
        <w:t xml:space="preserve">colour_inventory.json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line_model.json</w:t>
      </w:r>
      <w:r>
        <w:t xml:space="preserve">, and the seven</w:t>
      </w:r>
      <w:r>
        <w:t xml:space="preserve"> </w:t>
      </w:r>
      <w:r>
        <w:t xml:space="preserve">per-colour files in</w:t>
      </w:r>
      <w:r>
        <w:t xml:space="preserve"> </w:t>
      </w:r>
      <w:r>
        <w:rPr>
          <w:rStyle w:val="VerbatimChar"/>
        </w:rPr>
        <w:t xml:space="preserve">data/model/lines/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Validate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reports/W002_colour_line_validation.md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navigation.json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Publish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publish/colour_line_collage.html</w:t>
      </w:r>
      <w:r>
        <w:t xml:space="preserve">: full drawing + one isolated</w:t>
      </w:r>
      <w:r>
        <w:t xml:space="preserve"> </w:t>
      </w:r>
      <w:r>
        <w:t xml:space="preserve">view per colour line (A3 landscape, monochrome-safe labels).</w:t>
      </w:r>
    </w:p>
    <w:bookmarkEnd w:id="21"/>
    <w:bookmarkStart w:id="22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src/abacus_svg_pid/cli.py            </w:t>
      </w:r>
      <w:r>
        <w:rPr>
          <w:rStyle w:val="CommentTok"/>
        </w:rPr>
        <w:t xml:space="preserve"># build the colour line model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src/abacus_svg_pid/render_collage.py </w:t>
      </w:r>
      <w:r>
        <w:rPr>
          <w:rStyle w:val="CommentTok"/>
        </w:rPr>
        <w:t xml:space="preserve"># build the collage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tests/test_colour_model.py           </w:t>
      </w:r>
      <w:r>
        <w:rPr>
          <w:rStyle w:val="CommentTok"/>
        </w:rPr>
        <w:t xml:space="preserve"># assertions</w:t>
      </w:r>
    </w:p>
    <w:bookmarkEnd w:id="22"/>
    <w:bookmarkStart w:id="23" w:name="hard-rules"/>
    <w:p>
      <w:pPr>
        <w:pStyle w:val="Heading2"/>
      </w:pPr>
      <w:r>
        <w:t xml:space="preserve">Hard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Preserve sequence</w:t>
      </w:r>
      <w:r>
        <w:t xml:space="preserve"> </w:t>
      </w:r>
      <w:r>
        <w:t xml:space="preserve">— never geometrically re-order a line’s components</w:t>
      </w:r>
      <w:r>
        <w:t xml:space="preserve"> </w:t>
      </w:r>
      <w:r>
        <w:t xml:space="preserve">unless arrow / left-to-right evidence exists (that evidence is</w:t>
      </w:r>
      <w:r>
        <w:t xml:space="preserve"> </w:t>
      </w:r>
      <w:r>
        <w:rPr>
          <w:bCs/>
          <w:b/>
        </w:rPr>
        <w:t xml:space="preserve">W004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Claim ≠ Complete</w:t>
      </w:r>
      <w:r>
        <w:t xml:space="preserve"> </w:t>
      </w:r>
      <w:r>
        <w:t xml:space="preserve">— do not claim a colour is semantically correct unless it</w:t>
      </w:r>
      <w:r>
        <w:t xml:space="preserve"> </w:t>
      </w:r>
      <w:r>
        <w:t xml:space="preserve">maps to the canonical table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it is explicitly listed as unresolved.</w:t>
      </w:r>
    </w:p>
    <w:p>
      <w:pPr>
        <w:numPr>
          <w:ilvl w:val="0"/>
          <w:numId w:val="1002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UI, PPT, CI, package-rename, or the W003/W004 layer &amp;</w:t>
      </w:r>
      <w:r>
        <w:t xml:space="preserve"> </w:t>
      </w:r>
      <w:r>
        <w:t xml:space="preserve">geometry engine. Do not open a PR until success criteria 1–5 are non-zero.</w:t>
      </w:r>
    </w:p>
    <w:bookmarkEnd w:id="23"/>
    <w:bookmarkStart w:id="24" w:name="wave-roadmap"/>
    <w:p>
      <w:pPr>
        <w:pStyle w:val="Heading2"/>
      </w:pPr>
      <w:r>
        <w:t xml:space="preserve">Wave roadmap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configs/wave_registry.json</w:t>
      </w:r>
      <w:r>
        <w:t xml:space="preserve"> </w:t>
      </w:r>
      <w:r>
        <w:t xml:space="preserve">(W001–W009) and</w:t>
      </w:r>
      <w:r>
        <w:t xml:space="preserve"> </w:t>
      </w:r>
      <w:r>
        <w:rPr>
          <w:rStyle w:val="VerbatimChar"/>
        </w:rPr>
        <w:t xml:space="preserve">reports/navigation.json</w:t>
      </w:r>
      <w:r>
        <w:t xml:space="preserve"> </w:t>
      </w:r>
      <w:r>
        <w:t xml:space="preserve">(current/next wave, status, SVGs found, blocking items). Current wave:</w:t>
      </w:r>
      <w:r>
        <w:t xml:space="preserve"> </w:t>
      </w:r>
      <w:r>
        <w:rPr>
          <w:bCs/>
          <w:b/>
        </w:rPr>
        <w:t xml:space="preserve">W005</w:t>
      </w:r>
      <w:r>
        <w:t xml:space="preserve"> </w:t>
      </w:r>
      <w:r>
        <w:t xml:space="preserve">(Tag &amp; Instrument Register Reconciliation — XLSX coverage delta).</w:t>
      </w:r>
    </w:p>
    <w:p>
      <w:r>
        <w:pict>
          <v:rect style="width:0;height:1.5pt" o:hralign="center" o:hrstd="t" o:hr="t"/>
        </w:pict>
      </w:r>
    </w:p>
    <w:bookmarkEnd w:id="24"/>
    <w:bookmarkStart w:id="29" w:name="governance-claim-complete-binding"/>
    <w:p>
      <w:pPr>
        <w:pStyle w:val="Heading2"/>
      </w:pPr>
      <w:r>
        <w:t xml:space="preserve">Governance — Claim ≠ Complete (binding)</w:t>
      </w:r>
    </w:p>
    <w:p>
      <w:pPr>
        <w:pStyle w:val="FirstParagraph"/>
      </w:pPr>
      <w:r>
        <w:t xml:space="preserve">These rules are binding on every wave. They exist because a</w:t>
      </w:r>
      <w:r>
        <w:t xml:space="preserve"> </w:t>
      </w:r>
      <w:r>
        <w:t xml:space="preserve">“</w:t>
      </w:r>
      <w:r>
        <w:t xml:space="preserve">claim</w:t>
      </w:r>
      <w:r>
        <w:t xml:space="preserve">”</w:t>
      </w:r>
      <w:r>
        <w:t xml:space="preserve"> </w:t>
      </w:r>
      <w:r>
        <w:t xml:space="preserve">of work is</w:t>
      </w:r>
      <w:r>
        <w:t xml:space="preserve"> </w:t>
      </w:r>
      <w:r>
        <w:t xml:space="preserve">worthless to an engineering reviewer without verifiable evidence.</w:t>
      </w:r>
    </w:p>
    <w:bookmarkStart w:id="25" w:name="Xba916c640a3b1c7131445969d20ebf7b80d08f5"/>
    <w:p>
      <w:pPr>
        <w:pStyle w:val="Heading3"/>
      </w:pPr>
      <w:r>
        <w:t xml:space="preserve">1. A wave is COMPLETE only if all four are true</w:t>
      </w:r>
    </w:p>
    <w:p>
      <w:pPr>
        <w:pStyle w:val="FirstParagraph"/>
      </w:pPr>
      <w:r>
        <w:t xml:space="preserve">A wave may be marked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configs/wave_registry.json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reports/wave_status.json</w:t>
      </w:r>
      <w:r>
        <w:t xml:space="preserve">)</w:t>
      </w:r>
      <w:r>
        <w:t xml:space="preserve"> </w:t>
      </w:r>
      <w:r>
        <w:rPr>
          <w:bCs/>
          <w:b/>
        </w:rPr>
        <w:t xml:space="preserve">only when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Output files exist</w:t>
      </w:r>
      <w:r>
        <w:t xml:space="preserve"> </w:t>
      </w:r>
      <w:r>
        <w:t xml:space="preserve">— the concrete artifacts named in</w:t>
      </w:r>
      <w:r>
        <w:t xml:space="preserve"> </w:t>
      </w:r>
      <w:r>
        <w:rPr>
          <w:rStyle w:val="VerbatimChar"/>
        </w:rPr>
        <w:t xml:space="preserve">expected_output</w:t>
      </w:r>
      <w:r>
        <w:t xml:space="preserve"> </w:t>
      </w:r>
      <w:r>
        <w:t xml:space="preserve">are present on disk (or regenerable via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from tracked source).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 validation report exists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reports/W0NN_*.md</w:t>
      </w:r>
      <w:r>
        <w:t xml:space="preserve"> </w:t>
      </w:r>
      <w:r>
        <w:t xml:space="preserve">(or a section of the</w:t>
      </w:r>
      <w:r>
        <w:t xml:space="preserve"> </w:t>
      </w:r>
      <w:r>
        <w:t xml:space="preserve">combined report) records what was checked and how.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Runtime counts are recorded</w:t>
      </w:r>
      <w:r>
        <w:t xml:space="preserve"> </w:t>
      </w:r>
      <w:r>
        <w:t xml:space="preserve">— the actual numbers produced this run</w:t>
      </w:r>
      <w:r>
        <w:t xml:space="preserve"> </w:t>
      </w:r>
      <w:r>
        <w:t xml:space="preserve">(elements, layers, pairs, components, …) are written down, not estimated.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Known gaps are listed</w:t>
      </w:r>
      <w:r>
        <w:t xml:space="preserve"> </w:t>
      </w:r>
      <w:r>
        <w:t xml:space="preserve">— every unresolved item, low-confidence result, or</w:t>
      </w:r>
      <w:r>
        <w:t xml:space="preserve"> </w:t>
      </w:r>
      <w:r>
        <w:t xml:space="preserve">carry-forward is named explicitly under</w:t>
      </w:r>
      <w:r>
        <w:t xml:space="preserve"> </w:t>
      </w:r>
      <w:r>
        <w:rPr>
          <w:rStyle w:val="VerbatimChar"/>
        </w:rPr>
        <w:t xml:space="preserve">known_gaps</w:t>
      </w:r>
      <w:r>
        <w:t xml:space="preserve">. An empty gap list must</w:t>
      </w:r>
      <w:r>
        <w:t xml:space="preserve"> </w:t>
      </w:r>
      <w:r>
        <w:t xml:space="preserve">be a deliberate assertion, not an omission.</w:t>
      </w:r>
    </w:p>
    <w:p>
      <w:pPr>
        <w:pStyle w:val="BodyText"/>
      </w:pPr>
      <w:r>
        <w:t xml:space="preserve">The normalized record of this lives in</w:t>
      </w:r>
      <w:r>
        <w:t xml:space="preserve"> </w:t>
      </w:r>
      <w:r>
        <w:rPr>
          <w:rStyle w:val="VerbatimChar"/>
        </w:rPr>
        <w:t xml:space="preserve">reports/wave_status.json</w:t>
      </w:r>
      <w:r>
        <w:t xml:space="preserve"> </w:t>
      </w:r>
      <w:r>
        <w:t xml:space="preserve">with schema</w:t>
      </w:r>
      <w:r>
        <w:t xml:space="preserve"> </w:t>
      </w:r>
      <w:r>
        <w:rPr>
          <w:rStyle w:val="VerbatimChar"/>
        </w:rPr>
        <w:t xml:space="preserve">{wave, claim, actual{…}, pass, known_gaps[]}</w:t>
      </w:r>
      <w:r>
        <w:t xml:space="preserve">.</w:t>
      </w:r>
      <w:r>
        <w:t xml:space="preserve"> </w:t>
      </w:r>
      <w:r>
        <w:rPr>
          <w:rStyle w:val="VerbatimChar"/>
        </w:rPr>
        <w:t xml:space="preserve">pass: true</w:t>
      </w:r>
      <w:r>
        <w:t xml:space="preserve"> </w:t>
      </w:r>
      <w:r>
        <w:t xml:space="preserve">requires all four</w:t>
      </w:r>
      <w:r>
        <w:t xml:space="preserve"> </w:t>
      </w:r>
      <w:r>
        <w:t xml:space="preserve">conditions above.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flip a wave to complete to make a report look</w:t>
      </w:r>
      <w:r>
        <w:t xml:space="preserve"> </w:t>
      </w:r>
      <w:r>
        <w:t xml:space="preserve">finished.</w:t>
      </w:r>
    </w:p>
    <w:bookmarkEnd w:id="25"/>
    <w:bookmarkStart w:id="26" w:name="never-silently-delete-unresolved-data"/>
    <w:p>
      <w:pPr>
        <w:pStyle w:val="Heading3"/>
      </w:pPr>
      <w:r>
        <w:t xml:space="preserve">2. Never silently delete unresolved data</w:t>
      </w:r>
    </w:p>
    <w:p>
      <w:pPr>
        <w:numPr>
          <w:ilvl w:val="0"/>
          <w:numId w:val="1003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drop, prune, or</w:t>
      </w:r>
      <w:r>
        <w:t xml:space="preserve"> </w:t>
      </w:r>
      <w:r>
        <w:t xml:space="preserve">“</w:t>
      </w:r>
      <w:r>
        <w:t xml:space="preserve">clean away</w:t>
      </w:r>
      <w:r>
        <w:t xml:space="preserve">”</w:t>
      </w:r>
      <w:r>
        <w:t xml:space="preserve"> </w:t>
      </w:r>
      <w:r>
        <w:t xml:space="preserve">tags, text nodes, geometry elements,</w:t>
      </w:r>
      <w:r>
        <w:t xml:space="preserve"> </w:t>
      </w:r>
      <w:r>
        <w:t xml:space="preserve">or colour codes just because they did not classify. Unresolved items are</w:t>
      </w:r>
      <w:r>
        <w:t xml:space="preserve"> </w:t>
      </w:r>
      <w:r>
        <w:rPr>
          <w:bCs/>
          <w:b/>
        </w:rPr>
        <w:t xml:space="preserve">flagged and counted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), never deleted.</w:t>
      </w:r>
    </w:p>
    <w:p>
      <w:pPr>
        <w:numPr>
          <w:ilvl w:val="0"/>
          <w:numId w:val="1003"/>
        </w:numPr>
        <w:pStyle w:val="Compact"/>
      </w:pPr>
      <w:r>
        <w:t xml:space="preserve">Reconciliation must balance: every input element is either mapped or appears</w:t>
      </w:r>
      <w:r>
        <w:t xml:space="preserve"> </w:t>
      </w:r>
      <w:r>
        <w:t xml:space="preserve">in an explicit unresolved bucket. The layer sum-check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drawable + text = total</w:t>
      </w:r>
      <w:r>
        <w:t xml:space="preserve">, exact) is the canonical example — see the combined</w:t>
      </w:r>
      <w:r>
        <w:t xml:space="preserve"> </w:t>
      </w:r>
      <w:r>
        <w:t xml:space="preserve">report.</w:t>
      </w:r>
    </w:p>
    <w:p>
      <w:pPr>
        <w:numPr>
          <w:ilvl w:val="0"/>
          <w:numId w:val="1003"/>
        </w:numPr>
        <w:pStyle w:val="Compact"/>
      </w:pPr>
      <w:r>
        <w:t xml:space="preserve">A smaller count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evidence of progress. Losing elements between</w:t>
      </w:r>
      <w:r>
        <w:t xml:space="preserve"> </w:t>
      </w:r>
      <w:r>
        <w:t xml:space="preserve">phases is a regression to be explained, not hidden.</w:t>
      </w:r>
    </w:p>
    <w:bookmarkEnd w:id="26"/>
    <w:bookmarkStart w:id="27" w:name="Xaeaf32a3449f5223922dee37079e55a94e47664"/>
    <w:p>
      <w:pPr>
        <w:pStyle w:val="Heading3"/>
      </w:pPr>
      <w:r>
        <w:t xml:space="preserve">3. Colour is legend-defined truth — but cross-validate it</w:t>
      </w:r>
    </w:p>
    <w:p>
      <w:pPr>
        <w:numPr>
          <w:ilvl w:val="0"/>
          <w:numId w:val="1004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drawing, colour is the legend-defined ground truth for process</w:t>
      </w:r>
      <w:r>
        <w:t xml:space="preserve"> </w:t>
      </w:r>
      <w:r>
        <w:t xml:space="preserve">line identity (per the canonical table above). That is the correct primary</w:t>
      </w:r>
      <w:r>
        <w:t xml:space="preserve"> </w:t>
      </w:r>
      <w:r>
        <w:t xml:space="preserve">signal and we keep it primary.</w:t>
      </w:r>
    </w:p>
    <w:p>
      <w:pPr>
        <w:numPr>
          <w:ilvl w:val="0"/>
          <w:numId w:val="1004"/>
        </w:numPr>
        <w:pStyle w:val="Compact"/>
      </w:pPr>
      <w:r>
        <w:t xml:space="preserve">However colour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treated as the</w:t>
      </w:r>
      <w:r>
        <w:t xml:space="preserve"> </w:t>
      </w:r>
      <w:r>
        <w:rPr>
          <w:iCs/>
          <w:i/>
        </w:rPr>
        <w:t xml:space="preserve">sole</w:t>
      </w:r>
      <w:r>
        <w:t xml:space="preserve"> </w:t>
      </w:r>
      <w:r>
        <w:t xml:space="preserve">truth. A line’s colour</w:t>
      </w:r>
      <w:r>
        <w:t xml:space="preserve"> </w:t>
      </w:r>
      <w:r>
        <w:t xml:space="preserve">should be cross-checked against the</w:t>
      </w:r>
      <w:r>
        <w:t xml:space="preserve"> </w:t>
      </w:r>
      <w:r>
        <w:rPr>
          <w:bCs/>
          <w:b/>
        </w:rPr>
        <w:t xml:space="preserve">tag / instrument class</w:t>
      </w:r>
      <w:r>
        <w:t xml:space="preserve"> </w:t>
      </w:r>
      <w:r>
        <w:t xml:space="preserve">(ISA prefix,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configs/isa_classes.json</w:t>
      </w:r>
      <w:r>
        <w:t xml:space="preserve">) and any nearby text. Where colour and</w:t>
      </w:r>
      <w:r>
        <w:t xml:space="preserve"> </w:t>
      </w:r>
      <w:r>
        <w:t xml:space="preserve">tag-class disagree, the element is flagged for review — not force-resolved.</w:t>
      </w:r>
    </w:p>
    <w:p>
      <w:pPr>
        <w:numPr>
          <w:ilvl w:val="0"/>
          <w:numId w:val="1004"/>
        </w:numPr>
        <w:pStyle w:val="Compact"/>
      </w:pPr>
      <w:r>
        <w:t xml:space="preserve">This is a</w:t>
      </w:r>
      <w:r>
        <w:t xml:space="preserve"> </w:t>
      </w:r>
      <w:r>
        <w:rPr>
          <w:bCs/>
          <w:b/>
        </w:rPr>
        <w:t xml:space="preserve">documented principle</w:t>
      </w:r>
      <w:r>
        <w:t xml:space="preserve">, not yet an automated gate. The</w:t>
      </w:r>
      <w:r>
        <w:t xml:space="preserve"> </w:t>
      </w:r>
      <w:r>
        <w:t xml:space="preserve">cross-validation engine (colour-vs-tag-class agreement scoring) is future</w:t>
      </w:r>
      <w:r>
        <w:t xml:space="preserve"> </w:t>
      </w:r>
      <w:r>
        <w:t xml:space="preserve">scope and must not be silently assumed to exist. Until then, disagreements are</w:t>
      </w:r>
      <w:r>
        <w:t xml:space="preserve"> </w:t>
      </w:r>
      <w:r>
        <w:t xml:space="preserve">surfaced in validation reports, never auto-corrected.</w:t>
      </w:r>
    </w:p>
    <w:bookmarkEnd w:id="27"/>
    <w:bookmarkStart w:id="28" w:name="reproducibility-over-committed-artifacts"/>
    <w:p>
      <w:pPr>
        <w:pStyle w:val="Heading3"/>
      </w:pPr>
      <w:r>
        <w:t xml:space="preserve">4. Reproducibility over committed artifacts</w:t>
      </w:r>
    </w:p>
    <w:p>
      <w:pPr>
        <w:numPr>
          <w:ilvl w:val="0"/>
          <w:numId w:val="1005"/>
        </w:numPr>
        <w:pStyle w:val="Compact"/>
      </w:pPr>
      <w:r>
        <w:t xml:space="preserve">Derived outputs (</w:t>
      </w:r>
      <w:r>
        <w:rPr>
          <w:rStyle w:val="VerbatimChar"/>
        </w:rPr>
        <w:t xml:space="preserve">output_v6/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reports/*.xlsx</w:t>
      </w:r>
      <w:r>
        <w:t xml:space="preserve">) are</w:t>
      </w:r>
      <w:r>
        <w:t xml:space="preserve"> </w:t>
      </w:r>
      <w:r>
        <w:rPr>
          <w:bCs/>
          <w:b/>
        </w:rPr>
        <w:t xml:space="preserve">regenerable</w:t>
      </w:r>
      <w:r>
        <w:t xml:space="preserve">, not source. They are git-ignored and</w:t>
      </w:r>
      <w:r>
        <w:t xml:space="preserve"> </w:t>
      </w:r>
      <w:r>
        <w:t xml:space="preserve">rebuilt by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from tracked source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). A reviewer must be able to clone, run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,</w:t>
      </w:r>
      <w:r>
        <w:t xml:space="preserve"> </w:t>
      </w:r>
      <w:r>
        <w:t xml:space="preserve">and reproduce every number in the reports.</w:t>
      </w:r>
    </w:p>
    <w:p>
      <w:pPr>
        <w:numPr>
          <w:ilvl w:val="0"/>
          <w:numId w:val="1005"/>
        </w:numPr>
        <w:pStyle w:val="Compact"/>
      </w:pPr>
      <w:r>
        <w:t xml:space="preserve">Tracked source of record: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segmentation/data/*.json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2026-06-04T15:44:57Z</dcterms:created>
  <dcterms:modified xsi:type="dcterms:W3CDTF">2026-06-04T15:44:57Z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