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ecbc22c64169c98bd9f6c1d81194caf5dcb4b7"/>
    <w:p>
      <w:pPr>
        <w:pStyle w:val="Heading1"/>
      </w:pPr>
      <w:r>
        <w:t xml:space="preserve">GitHub PR Plan — MINERVA QCELL/RFCELL Colour-Line Model</w:t>
      </w:r>
    </w:p>
    <w:p>
      <w:pPr>
        <w:pStyle w:val="FirstParagraph"/>
      </w:pPr>
      <w:r>
        <w:t xml:space="preserve">Branch &amp; PR strategy.</w:t>
      </w:r>
      <w:r>
        <w:t xml:space="preserve"> </w:t>
      </w:r>
      <w:r>
        <w:rPr>
          <w:bCs/>
          <w:b/>
        </w:rPr>
        <w:t xml:space="preserve">Consolidated</w:t>
      </w:r>
      <w:r>
        <w:t xml:space="preserve"> </w:t>
      </w:r>
      <w:r>
        <w:t xml:space="preserve">— we do NOT open one PR per wave. Completed</w:t>
      </w:r>
      <w:r>
        <w:t xml:space="preserve"> </w:t>
      </w:r>
      <w:r>
        <w:t xml:space="preserve">waves are bundled into a single reviewable PR so the reviewer sees a coherent</w:t>
      </w:r>
      <w:r>
        <w:t xml:space="preserve"> </w:t>
      </w:r>
      <w:r>
        <w:t xml:space="preserve">capability set, not a trickle of partial commits.</w:t>
      </w:r>
      <w:r>
        <w:t xml:space="preserve"> </w:t>
      </w:r>
      <w:r>
        <w:rPr>
          <w:bCs/>
          <w:b/>
        </w:rPr>
        <w:t xml:space="preserve">PRs are never auto-merged.</w:t>
      </w:r>
    </w:p>
    <w:p>
      <w:r>
        <w:pict>
          <v:rect style="width:0;height:1.5pt" o:hralign="center" o:hrstd="t" o:hr="t"/>
        </w:pict>
      </w:r>
    </w:p>
    <w:bookmarkStart w:id="27" w:name="Xe3e7a307d149b882151eb78354be148cf452736"/>
    <w:p>
      <w:pPr>
        <w:pStyle w:val="Heading2"/>
      </w:pPr>
      <w:r>
        <w:t xml:space="preserve">PR1 — W001 + W002 + W003 + W004: Colour-line model, layer hierarchy &amp; geometric tracing</w:t>
      </w:r>
      <w:r>
        <w:t xml:space="preserve"> </w:t>
      </w:r>
      <w:r>
        <w:rPr>
          <w:iCs/>
          <w:i/>
        </w:rPr>
        <w:t xml:space="preserve">(THIS PR — ready for review)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wave/w001-w004-colour-line-layer-geometry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t xml:space="preserve">This single PR consolidates the entire foundation: source ingestion + style</w:t>
      </w:r>
      <w:r>
        <w:t xml:space="preserve"> </w:t>
      </w:r>
      <w:r>
        <w:t xml:space="preserve">extraction (W001), colour-line decomposition (W002), the 13-top-level /</w:t>
      </w:r>
      <w:r>
        <w:t xml:space="preserve"> </w:t>
      </w:r>
      <w:r>
        <w:t xml:space="preserve">21-named-sub-layer hierarchy (W003), and geometric arrow/flow tracing (W004).</w:t>
      </w:r>
    </w:p>
    <w:bookmarkStart w:id="20" w:name="reproducibility-read-first"/>
    <w:p>
      <w:pPr>
        <w:pStyle w:val="Heading3"/>
      </w:pPr>
      <w:r>
        <w:t xml:space="preserve">Reproducibility (read first)</w:t>
      </w:r>
    </w:p>
    <w:p>
      <w:pPr>
        <w:pStyle w:val="FirstParagraph"/>
      </w:pPr>
      <w:r>
        <w:t xml:space="preserve">Derived outputs (</w:t>
      </w:r>
      <w:r>
        <w:rPr>
          <w:rStyle w:val="VerbatimChar"/>
        </w:rPr>
        <w:t xml:space="preserve">data/model/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output_v6/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reports/*.xlsx</w:t>
      </w:r>
      <w:r>
        <w:t xml:space="preserve">) are</w:t>
      </w:r>
      <w:r>
        <w:t xml:space="preserve"> </w:t>
      </w:r>
      <w:r>
        <w:rPr>
          <w:bCs/>
          <w:b/>
        </w:rPr>
        <w:t xml:space="preserve">git-ignored</w:t>
      </w:r>
      <w:r>
        <w:t xml:space="preserve"> </w:t>
      </w:r>
      <w:r>
        <w:t xml:space="preserve">— they are regenerable, not source. To</w:t>
      </w:r>
      <w:r>
        <w:t xml:space="preserve"> </w:t>
      </w:r>
      <w:r>
        <w:t xml:space="preserve">reproduce every number quoted below from a fresh clone:</w:t>
      </w:r>
    </w:p>
    <w:p>
      <w:pPr>
        <w:pStyle w:val="SourceCode"/>
      </w:pPr>
      <w:r>
        <w:rPr>
          <w:rStyle w:val="ExtensionTok"/>
        </w:rPr>
        <w:t xml:space="preserve">./make.sh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regenerate all derived outputs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tests/test_integration_pipeline.py   </w:t>
      </w:r>
      <w:r>
        <w:rPr>
          <w:rStyle w:val="CommentTok"/>
        </w:rPr>
        <w:t xml:space="preserve"># source-only smoke test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tests/test_colour_model.py           </w:t>
      </w:r>
      <w:r>
        <w:rPr>
          <w:rStyle w:val="CommentTok"/>
        </w:rPr>
        <w:t xml:space="preserve"># W002 assertions (after make.sh)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tests/test_w003_w004.py              </w:t>
      </w:r>
      <w:r>
        <w:rPr>
          <w:rStyle w:val="CommentTok"/>
        </w:rPr>
        <w:t xml:space="preserve"># W003/W004 assertions (after make.sh)</w:t>
      </w:r>
    </w:p>
    <w:p>
      <w:pPr>
        <w:pStyle w:val="FirstParagraph"/>
      </w:pPr>
      <w:r>
        <w:t xml:space="preserve">Tracked source of record: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segmentation/data/*.json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20"/>
    <w:bookmarkStart w:id="24" w:name="pr-description-capability-matrix"/>
    <w:p>
      <w:pPr>
        <w:pStyle w:val="Heading3"/>
      </w:pPr>
      <w:r>
        <w:t xml:space="preserve">PR description — Capability Matrix</w:t>
      </w:r>
    </w:p>
    <w:p>
      <w:pPr>
        <w:pStyle w:val="FirstParagraph"/>
      </w:pPr>
      <w:r>
        <w:t xml:space="preserve">Honest</w:t>
      </w:r>
      <w:r>
        <w:t xml:space="preserve"> </w:t>
      </w:r>
      <w:r>
        <w:t xml:space="preserve">“</w:t>
      </w:r>
      <w:r>
        <w:t xml:space="preserve">Claim ≠ Complete</w:t>
      </w:r>
      <w:r>
        <w:t xml:space="preserve">”</w:t>
      </w:r>
      <w:r>
        <w:t xml:space="preserve"> </w:t>
      </w:r>
      <w:r>
        <w:t xml:space="preserve">accounting. Every row is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(implemented &amp;</w:t>
      </w:r>
      <w:r>
        <w:t xml:space="preserve"> </w:t>
      </w:r>
      <w:r>
        <w:t xml:space="preserve">verified by runtime counts),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(not possible with current source /</w:t>
      </w:r>
      <w:r>
        <w:t xml:space="preserve"> </w:t>
      </w:r>
      <w:r>
        <w:t xml:space="preserve">toolchain), or</w:t>
      </w:r>
      <w:r>
        <w:t xml:space="preserve"> </w:t>
      </w:r>
      <w:r>
        <w:rPr>
          <w:bCs/>
          <w:b/>
        </w:rPr>
        <w:t xml:space="preserve">DID NOT / DEFERRED</w:t>
      </w:r>
      <w:r>
        <w:t xml:space="preserve"> </w:t>
      </w:r>
      <w:r>
        <w:t xml:space="preserve">(possible but intentionally not done).</w:t>
      </w:r>
    </w:p>
    <w:bookmarkStart w:id="21" w:name="can-implemented-and-verified"/>
    <w:p>
      <w:pPr>
        <w:pStyle w:val="Heading4"/>
      </w:pPr>
      <w:r>
        <w:t xml:space="preserve">CAN — implemented and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both real source SVGs with inline-style colour 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+ RFCELL, 1888 drawable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unmapped elements via legend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 → 112 (88.6 %)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CTM-resolved geometry extraction (bbox/centroid/shape)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geometry.py</w:t>
            </w:r>
            <w:r>
              <w:t xml:space="preserve">; 7 shape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text →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Colour-classify text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dots / heat-load triangles / arrows →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 / 100 / 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Pairing-distance quality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25.35 / p90 355.4 / max 1040.2 px (&gt;p90 flagged low-confidence)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Standardize text to Consolas + 4 mm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 tiered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13 top-level layers (21 named sub-layers) per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layer_assignment.json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sum-check balances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 drawable + 533 text = 2421, no drops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layered SVG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1834/14, RFCELL 591/12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interactive layer-toggle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layered_atlas_v6.html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flow arrows + junctions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arrows, 36 junctions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vertical-letter nomenclature into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segments, 8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components to Excel +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spec-change dots by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40, V 10, B 2, uncol. 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scope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(QM/QVB/vac/Jumper/QINFRA)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handover diamonds (TP#NNN)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PEMO YAML 1.2 SSOT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loops, 60 heat loads</w:t>
            </w:r>
          </w:p>
        </w:tc>
      </w:tr>
    </w:tbl>
    <w:bookmarkEnd w:id="21"/>
    <w:bookmarkStart w:id="22" w:name="cannot-blocked-by-source-data-toolchain"/>
    <w:p>
      <w:pPr>
        <w:pStyle w:val="Heading4"/>
      </w:pPr>
      <w:r>
        <w:t xml:space="preserve">CANNOT — blocked by source data / toolchain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the 112 residual magenta elements to 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legend swatch for that colour family in the source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true 3-D pipe routing /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 2-D schematic; no z-data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the degenerate-transform coordinate outlier to a real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transform is mathematically degenerate; mitigated via viewBox bounds</w:t>
            </w:r>
          </w:p>
        </w:tc>
      </w:tr>
    </w:tbl>
    <w:bookmarkEnd w:id="22"/>
    <w:bookmarkStart w:id="23" w:name="X5c7e8bc7dc4c168732015e67a9d403f6359526a"/>
    <w:p>
      <w:pPr>
        <w:pStyle w:val="Heading4"/>
      </w:pPr>
      <w:r>
        <w:t xml:space="preserve">DID NOT / DEFERRED — possible, deferred to a later wave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target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 tag/instrument register reconciliation + coverage 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W005 (next, PR2)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the U line (top-left, currently 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colour re-attribution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 the 77 floating arrows to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nearest-line 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Populate 04G_E_RED / manifold header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reserved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layered viewer (beyond static 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W006, PR3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Cross-drawing reconciliation, temperature/pressure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later waves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/ GitHub Actions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W007, PR3</w:t>
            </w:r>
          </w:p>
        </w:tc>
      </w:tr>
    </w:tbl>
    <w:bookmarkEnd w:id="23"/>
    <w:bookmarkEnd w:id="24"/>
    <w:bookmarkStart w:id="25" w:name="review-checklist"/>
    <w:p>
      <w:pPr>
        <w:pStyle w:val="Heading3"/>
      </w:pPr>
      <w:r>
        <w:t xml:space="preserve">Review checklist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reproduces all derived outputs from a clean clone.</w:t>
      </w:r>
    </w:p>
    <w:p>
      <w:pPr>
        <w:numPr>
          <w:ilvl w:val="0"/>
          <w:numId w:val="1001"/>
        </w:numPr>
        <w:pStyle w:val="Compact"/>
      </w:pPr>
      <w:r>
        <w:t xml:space="preserve">☐ Integration smoke test passes (</w:t>
      </w:r>
      <w:r>
        <w:rPr>
          <w:rStyle w:val="VerbatimChar"/>
        </w:rPr>
        <w:t xml:space="preserve">tests/test_integration_pipeline.py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 Confirm 13-top-level / 21-named-sub-layer assignment matches engineering intent.</w:t>
      </w:r>
    </w:p>
    <w:p>
      <w:pPr>
        <w:numPr>
          <w:ilvl w:val="0"/>
          <w:numId w:val="1001"/>
        </w:numPr>
        <w:pStyle w:val="Compact"/>
      </w:pPr>
      <w:r>
        <w:t xml:space="preserve">☐ Sanity-check the 297-component catalog against the drawing.</w:t>
      </w:r>
    </w:p>
    <w:p>
      <w:pPr>
        <w:numPr>
          <w:ilvl w:val="0"/>
          <w:numId w:val="1001"/>
        </w:numPr>
        <w:pStyle w:val="Compact"/>
      </w:pPr>
      <w:r>
        <w:t xml:space="preserve">☐ Confirm handover-diamond list (22) and 5 scope boundaries.</w:t>
      </w:r>
    </w:p>
    <w:p>
      <w:pPr>
        <w:numPr>
          <w:ilvl w:val="0"/>
          <w:numId w:val="1001"/>
        </w:numPr>
        <w:pStyle w:val="Compact"/>
      </w:pPr>
      <w:r>
        <w:t xml:space="preserve">☐ Accept the documented deferrals (U line, 112 magenta, 77 floating arrows).</w:t>
      </w:r>
    </w:p>
    <w:bookmarkEnd w:id="25"/>
    <w:bookmarkStart w:id="26" w:name="not-merged-automatically"/>
    <w:p>
      <w:pPr>
        <w:pStyle w:val="Heading3"/>
      </w:pPr>
      <w:r>
        <w:t xml:space="preserve">Not merged automatically</w:t>
      </w:r>
    </w:p>
    <w:p>
      <w:pPr>
        <w:pStyle w:val="FirstParagraph"/>
      </w:pPr>
      <w:r>
        <w:t xml:space="preserve">Opened for review only. Merge after sign-off.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24e178412018a987e3b1bd144373d67cf17bb4"/>
    <w:p>
      <w:pPr>
        <w:pStyle w:val="Heading2"/>
      </w:pPr>
      <w:r>
        <w:t xml:space="preserve">PR2 — W005: Tag &amp; Instrument Register Reconciliation (XLSX coverage delta)</w:t>
      </w:r>
      <w:r>
        <w:t xml:space="preserve"> </w:t>
      </w:r>
      <w:r>
        <w:rPr>
          <w:iCs/>
          <w:i/>
        </w:rPr>
        <w:t xml:space="preserve">(planned — next)</w:t>
      </w:r>
    </w:p>
    <w:p>
      <w:pPr>
        <w:pStyle w:val="FirstParagraph"/>
      </w:pPr>
      <w:r>
        <w:rPr>
          <w:bCs/>
          <w:b/>
        </w:rPr>
        <w:t xml:space="preserve">This is the #1 next priority</w:t>
      </w:r>
      <w:r>
        <w:t xml:space="preserve"> </w:t>
      </w:r>
      <w:r>
        <w:t xml:space="preserve">— it is the question an engineering reviewer</w:t>
      </w:r>
      <w:r>
        <w:t xml:space="preserve"> </w:t>
      </w:r>
      <w:r>
        <w:t xml:space="preserve">asks first. Reconcile the 297 auto-catalogued components against the official</w:t>
      </w:r>
      <w:r>
        <w:t xml:space="preserve"> </w:t>
      </w:r>
      <w:r>
        <w:t xml:space="preserve">tag/instrument register (XLSX) and report the</w:t>
      </w:r>
      <w:r>
        <w:t xml:space="preserve"> </w:t>
      </w:r>
      <w:r>
        <w:rPr>
          <w:bCs/>
          <w:b/>
        </w:rPr>
        <w:t xml:space="preserve">coverage delta</w:t>
      </w:r>
      <w:r>
        <w:t xml:space="preserve">:</w:t>
      </w:r>
      <w:r>
        <w:t xml:space="preserve"> </w:t>
      </w:r>
      <w:r>
        <w:t xml:space="preserve">- which catalogued components appear in the official register (matched),</w:t>
      </w:r>
      <w:r>
        <w:t xml:space="preserve"> </w:t>
      </w:r>
      <w:r>
        <w:t xml:space="preserve">- which are</w:t>
      </w:r>
      <w:r>
        <w:t xml:space="preserve"> </w:t>
      </w:r>
      <w:r>
        <w:rPr>
          <w:bCs/>
          <w:b/>
        </w:rPr>
        <w:t xml:space="preserve">false positives</w:t>
      </w:r>
      <w:r>
        <w:t xml:space="preserve"> </w:t>
      </w:r>
      <w:r>
        <w:t xml:space="preserve">(catalogued but not in register),</w:t>
      </w:r>
      <w:r>
        <w:t xml:space="preserve"> </w:t>
      </w:r>
      <w:r>
        <w:t xml:space="preserve">- which register tags are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from our catalog,</w:t>
      </w:r>
      <w:r>
        <w:t xml:space="preserve"> </w:t>
      </w:r>
      <w:r>
        <w:t xml:space="preserve">- nomenclature reconciliation (our segment labels vs official tag naming).</w:t>
      </w:r>
    </w:p>
    <w:p>
      <w:pPr>
        <w:pStyle w:val="BodyText"/>
      </w:pPr>
      <w:r>
        <w:t xml:space="preserve">Cross-validates colour-derived line identity against ISA tag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configs/isa_classes.json</w:t>
      </w:r>
      <w:r>
        <w:t xml:space="preserve">) per the governance principle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bookmarkEnd w:id="28"/>
    <w:bookmarkStart w:id="29" w:name="X33768f05094d9ae6d217335b2b2e1601ea948ef"/>
    <w:p>
      <w:pPr>
        <w:pStyle w:val="Heading2"/>
      </w:pPr>
      <w:r>
        <w:t xml:space="preserve">PR3 — W006 + W007: Interactive layered viewer + CI</w:t>
      </w:r>
      <w:r>
        <w:t xml:space="preserve"> </w:t>
      </w:r>
      <w:r>
        <w:rPr>
          <w:iCs/>
          <w:i/>
        </w:rPr>
        <w:t xml:space="preserve">(planned)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W006</w:t>
      </w:r>
      <w:r>
        <w:t xml:space="preserve"> </w:t>
      </w:r>
      <w:r>
        <w:t xml:space="preserve">— interactive layered viewer (beyond the static atlas HTML): toggle</w:t>
      </w:r>
      <w:r>
        <w:t xml:space="preserve"> </w:t>
      </w:r>
      <w:r>
        <w:t xml:space="preserve">layers, isolate colour lines, click-through component inspection.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W007</w:t>
      </w:r>
      <w:r>
        <w:t xml:space="preserve"> </w:t>
      </w:r>
      <w:r>
        <w:t xml:space="preserve">— CI / GitHub Actions workflow running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+ the test suite</w:t>
      </w:r>
      <w:r>
        <w:t xml:space="preserve"> </w:t>
      </w:r>
      <w:r>
        <w:t xml:space="preserve">on every push.</w:t>
      </w:r>
    </w:p>
    <w:bookmarkEnd w:id="29"/>
    <w:bookmarkStart w:id="31" w:name="X87f510343ca7dcfbceccb7561eae0f48dd28afa"/>
    <w:p>
      <w:pPr>
        <w:pStyle w:val="Heading2"/>
      </w:pPr>
      <w:r>
        <w:t xml:space="preserve">PR4 — W008 + W009: Round-trip reassembly + publication &amp; sign-off</w:t>
      </w:r>
      <w:r>
        <w:t xml:space="preserve"> </w:t>
      </w:r>
      <w:r>
        <w:rPr>
          <w:iCs/>
          <w:i/>
        </w:rPr>
        <w:t xml:space="preserve">(planned)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W008</w:t>
      </w:r>
      <w:r>
        <w:t xml:space="preserve"> </w:t>
      </w:r>
      <w:r>
        <w:t xml:space="preserve">— recompose isolated colour lines back into the full P&amp;ID without</w:t>
      </w:r>
      <w:r>
        <w:t xml:space="preserve"> </w:t>
      </w:r>
      <w:r>
        <w:t xml:space="preserve">loss of meaning (the round-trip success metric).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W009</w:t>
      </w:r>
      <w:r>
        <w:t xml:space="preserve"> </w:t>
      </w:r>
      <w:r>
        <w:t xml:space="preserve">— engineering-reviewed colour-line atlas + sign-off record.</w:t>
      </w:r>
    </w:p>
    <w:p>
      <w:r>
        <w:pict>
          <v:rect style="width:0;height:1.5pt" o:hralign="center" o:hrstd="t" o:hr="t"/>
        </w:pict>
      </w:r>
    </w:p>
    <w:bookmarkStart w:id="30" w:name="conventions"/>
    <w:p>
      <w:pPr>
        <w:pStyle w:val="Heading3"/>
      </w:pPr>
      <w:r>
        <w:t xml:space="preserve">Conventions</w:t>
      </w:r>
    </w:p>
    <w:p>
      <w:pPr>
        <w:numPr>
          <w:ilvl w:val="0"/>
          <w:numId w:val="1004"/>
        </w:numPr>
        <w:pStyle w:val="Compact"/>
      </w:pPr>
      <w:r>
        <w:t xml:space="preserve">One consolidated feature branch per PR bundle; never commit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Commit identity:</w:t>
      </w:r>
      <w:r>
        <w:t xml:space="preserve"> </w:t>
      </w:r>
      <w:r>
        <w:rPr>
          <w:rStyle w:val="VerbatimChar"/>
        </w:rPr>
        <w:t xml:space="preserve">Abacus Agent &lt;agent@abacus.ai&gt;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Squash-merge with the wave ids in the title.</w:t>
      </w:r>
    </w:p>
    <w:p>
      <w:pPr>
        <w:numPr>
          <w:ilvl w:val="0"/>
          <w:numId w:val="1004"/>
        </w:numPr>
        <w:pStyle w:val="Compact"/>
      </w:pPr>
      <w:r>
        <w:t xml:space="preserve">Derived outputs are git-ignored and regenerated by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2026-06-04T15:49:35Z</dcterms:created>
  <dcterms:modified xsi:type="dcterms:W3CDTF">2026-06-04T15:49:35Z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