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5034cca51e451559c2cea36437fa67c0876eb6d"/>
    <w:p>
      <w:pPr>
        <w:pStyle w:val="Heading1"/>
      </w:pPr>
      <w:r>
        <w:t xml:space="preserve">MINERVA CryoCell P&amp;ID — Interactive Viewer Manual (v4)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MINERVA CryoCell — SCK CEN (MYRRHA/MINERVA Phase 1)</w:t>
      </w:r>
      <w:r>
        <w:t xml:space="preserve"> </w:t>
      </w:r>
      <w:r>
        <w:rPr>
          <w:bCs/>
          <w:b/>
        </w:rPr>
        <w:t xml:space="preserve">Consultant:</w:t>
      </w:r>
      <w:r>
        <w:t xml:space="preserve"> </w:t>
      </w:r>
      <w:r>
        <w:t xml:space="preserve">Mott MacDonald, Bristol UK — MMD 411066</w:t>
      </w:r>
      <w:r>
        <w:t xml:space="preserve"> </w:t>
      </w:r>
      <w:r>
        <w:rPr>
          <w:bCs/>
          <w:b/>
        </w:rPr>
        <w:t xml:space="preserve">Standard:</w:t>
      </w:r>
      <w:r>
        <w:t xml:space="preserve"> </w:t>
      </w:r>
      <w:r>
        <w:t xml:space="preserve">SCK CEN AD_01.16 · Status: S2 — FOR ACCEPTANCE · RESTRICTED</w:t>
      </w:r>
    </w:p>
    <w:p>
      <w:r>
        <w:pict>
          <v:rect style="width:0;height:1.5pt" o:hralign="center" o:hrstd="t" o:hr="t"/>
        </w:pict>
      </w:r>
    </w:p>
    <w:bookmarkStart w:id="20" w:name="what-it-is"/>
    <w:p>
      <w:pPr>
        <w:pStyle w:val="Heading2"/>
      </w:pPr>
      <w:r>
        <w:t xml:space="preserve">1. What it is</w:t>
      </w:r>
    </w:p>
    <w:p>
      <w:pPr>
        <w:pStyle w:val="FirstParagraph"/>
      </w:pPr>
      <w:r>
        <w:rPr>
          <w:rStyle w:val="VerbatimChar"/>
        </w:rPr>
        <w:t xml:space="preserve">HTML_INTERACTIVE/</w:t>
      </w:r>
      <w:r>
        <w:t xml:space="preserve"> </w:t>
      </w:r>
      <w:r>
        <w:t xml:space="preserve">is a self-contained, browser-based viewer for the four MINERVA</w:t>
      </w:r>
      <w:r>
        <w:t xml:space="preserve"> </w:t>
      </w:r>
      <w:r>
        <w:t xml:space="preserve">CryoCell P&amp;ID sheets. It lets a reviewer explore the layered SVGs without any CAD</w:t>
      </w:r>
      <w:r>
        <w:t xml:space="preserve"> </w:t>
      </w:r>
      <w:r>
        <w:t xml:space="preserve">software: toggle layers, apply default views, search tags, switch colour/mono, zoom,</w:t>
      </w:r>
      <w:r>
        <w:t xml:space="preserve"> </w:t>
      </w:r>
      <w:r>
        <w:t xml:space="preserve">pan and export PNGs.</w:t>
      </w:r>
    </w:p>
    <w:p>
      <w:pPr>
        <w:pStyle w:val="SourceCode"/>
      </w:pPr>
      <w:r>
        <w:rPr>
          <w:rStyle w:val="VerbatimChar"/>
        </w:rPr>
        <w:t xml:space="preserve">HTML_INTERACTIVE/</w:t>
      </w:r>
      <w:r>
        <w:br/>
      </w:r>
      <w:r>
        <w:rPr>
          <w:rStyle w:val="VerbatimChar"/>
        </w:rPr>
        <w:t xml:space="preserve">├── index.html              ← landing page (sheet gallery)</w:t>
      </w:r>
      <w:r>
        <w:br/>
      </w:r>
      <w:r>
        <w:rPr>
          <w:rStyle w:val="VerbatimChar"/>
        </w:rPr>
        <w:t xml:space="preserve">├── &lt;sheet&gt;.html  (×4)      ← per-sheet interactive viewer</w:t>
      </w:r>
      <w:r>
        <w:br/>
      </w:r>
      <w:r>
        <w:rPr>
          <w:rStyle w:val="VerbatimChar"/>
        </w:rPr>
        <w:t xml:space="preserve">├── css/viewer.css</w:t>
      </w:r>
      <w:r>
        <w:br/>
      </w:r>
      <w:r>
        <w:rPr>
          <w:rStyle w:val="VerbatimChar"/>
        </w:rPr>
        <w:t xml:space="preserve">├── js/pid-viewer.js        ← layer control, views, zoom/pan, export</w:t>
      </w:r>
      <w:r>
        <w:br/>
      </w:r>
      <w:r>
        <w:rPr>
          <w:rStyle w:val="VerbatimChar"/>
        </w:rPr>
        <w:t xml:space="preserve">├── js/search.js            ← tag search &amp; highlight</w:t>
      </w:r>
      <w:r>
        <w:br/>
      </w:r>
      <w:r>
        <w:rPr>
          <w:rStyle w:val="VerbatimChar"/>
        </w:rPr>
        <w:t xml:space="preserve">└── assets/</w:t>
      </w:r>
      <w:r>
        <w:br/>
      </w:r>
      <w:r>
        <w:rPr>
          <w:rStyle w:val="VerbatimChar"/>
        </w:rPr>
        <w:t xml:space="preserve">    ├── *_v4.svg  (×16)     ← the drawing layers</w:t>
      </w:r>
      <w:r>
        <w:br/>
      </w:r>
      <w:r>
        <w:rPr>
          <w:rStyle w:val="VerbatimChar"/>
        </w:rPr>
        <w:t xml:space="preserve">    └── thumbs/*.png (×4)   ← gallery thumbnails</w:t>
      </w:r>
    </w:p>
    <w:p>
      <w:r>
        <w:pict>
          <v:rect style="width:0;height:1.5pt" o:hralign="center" o:hrstd="t" o:hr="t"/>
        </w:pict>
      </w:r>
    </w:p>
    <w:bookmarkEnd w:id="20"/>
    <w:bookmarkStart w:id="21" w:name="launching-the-viewer"/>
    <w:p>
      <w:pPr>
        <w:pStyle w:val="Heading2"/>
      </w:pPr>
      <w:r>
        <w:t xml:space="preserve">2. Launching the viewer</w:t>
      </w:r>
    </w:p>
    <w:p>
      <w:pPr>
        <w:pStyle w:val="FirstParagraph"/>
      </w:pPr>
      <w:r>
        <w:t xml:space="preserve">Because the viewer loads SVG assets via</w:t>
      </w:r>
      <w:r>
        <w:t xml:space="preserve"> </w:t>
      </w:r>
      <w:r>
        <w:rPr>
          <w:rStyle w:val="VerbatimChar"/>
        </w:rPr>
        <w:t xml:space="preserve">fetch()</w:t>
      </w:r>
      <w:r>
        <w:t xml:space="preserve">, it must be served over HTTP — opening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directly with a</w:t>
      </w:r>
      <w:r>
        <w:t xml:space="preserve"> </w:t>
      </w:r>
      <w:r>
        <w:rPr>
          <w:rStyle w:val="VerbatimChar"/>
        </w:rPr>
        <w:t xml:space="preserve">file://</w:t>
      </w:r>
      <w:r>
        <w:t xml:space="preserve"> </w:t>
      </w:r>
      <w:r>
        <w:t xml:space="preserve">path will be blocked by the browser’s</w:t>
      </w:r>
      <w:r>
        <w:t xml:space="preserve"> </w:t>
      </w:r>
      <w:r>
        <w:t xml:space="preserve">same-origin policy.</w:t>
      </w:r>
    </w:p>
    <w:p>
      <w:pPr>
        <w:pStyle w:val="BodyText"/>
      </w:pPr>
      <w:r>
        <w:t xml:space="preserve">From inside the</w:t>
      </w:r>
      <w:r>
        <w:t xml:space="preserve"> </w:t>
      </w:r>
      <w:r>
        <w:rPr>
          <w:rStyle w:val="VerbatimChar"/>
        </w:rPr>
        <w:t xml:space="preserve">HTML_INTERACTIVE/</w:t>
      </w:r>
      <w:r>
        <w:t xml:space="preserve"> </w:t>
      </w:r>
      <w:r>
        <w:t xml:space="preserve">directory run a simple static server, e.g.: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HTML_INTERACTIVE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http.server 8137</w:t>
      </w:r>
    </w:p>
    <w:p>
      <w:pPr>
        <w:pStyle w:val="FirstParagraph"/>
      </w:pPr>
      <w:r>
        <w:t xml:space="preserve">Then open</w:t>
      </w:r>
      <w:r>
        <w:t xml:space="preserve"> </w:t>
      </w:r>
      <w:r>
        <w:rPr>
          <w:rStyle w:val="VerbatimChar"/>
        </w:rPr>
        <w:t xml:space="preserve">http://localhost:8137/</w:t>
      </w:r>
      <w:r>
        <w:t xml:space="preserve"> </w:t>
      </w:r>
      <w:r>
        <w:t xml:space="preserve">in your browser.</w:t>
      </w:r>
    </w:p>
    <w:p>
      <w:pPr>
        <w:pStyle w:val="BlockText"/>
      </w:pPr>
      <w:r>
        <w:rPr>
          <w:bCs/>
          <w:b/>
        </w:rPr>
        <w:t xml:space="preserve">Note on localhost:</w:t>
      </w:r>
      <w:r>
        <w:t xml:space="preserve"> </w:t>
      </w:r>
      <w:r>
        <w:t xml:space="preserve">When this viewer is launched on the Abacus AI Agent machine,</w:t>
      </w:r>
      <w:r>
        <w:t xml:space="preserve"> </w:t>
      </w:r>
      <w:r>
        <w:rPr>
          <w:iCs/>
          <w:i/>
        </w:rPr>
        <w:t xml:space="preserve">that</w:t>
      </w:r>
      <w:r>
        <w:t xml:space="preserve"> </w:t>
      </w:r>
      <w:r>
        <w:t xml:space="preserve">localhost refers to localhost of the Abacus AI Agent computer running the</w:t>
      </w:r>
      <w:r>
        <w:t xml:space="preserve"> </w:t>
      </w:r>
      <w:r>
        <w:t xml:space="preserve">application,</w:t>
      </w:r>
      <w:r>
        <w:t xml:space="preserve"> </w:t>
      </w:r>
      <w:r>
        <w:rPr>
          <w:bCs/>
          <w:b/>
        </w:rPr>
        <w:t xml:space="preserve">not your local machine</w:t>
      </w:r>
      <w:r>
        <w:t xml:space="preserve">. To run it yourself, download all files using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Files</w:t>
      </w:r>
      <w:r>
        <w:t xml:space="preserve"> </w:t>
      </w:r>
      <w:r>
        <w:t xml:space="preserve">icon at the top right, navigate inside the downloaded folder, and serve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HTML_INTERACTIVE</w:t>
      </w:r>
      <w:r>
        <w:t xml:space="preserve"> </w:t>
      </w:r>
      <w:r>
        <w:t xml:space="preserve">directory locally as shown above.</w:t>
      </w:r>
    </w:p>
    <w:p>
      <w:r>
        <w:pict>
          <v:rect style="width:0;height:1.5pt" o:hralign="center" o:hrstd="t" o:hr="t"/>
        </w:pict>
      </w:r>
    </w:p>
    <w:bookmarkEnd w:id="21"/>
    <w:bookmarkStart w:id="22" w:name="landing-page"/>
    <w:p>
      <w:pPr>
        <w:pStyle w:val="Heading2"/>
      </w:pPr>
      <w:r>
        <w:t xml:space="preserve">3. Landing page</w:t>
      </w:r>
    </w:p>
    <w:p>
      <w:pPr>
        <w:pStyle w:val="FirstParagraph"/>
      </w:pPr>
      <w:r>
        <w:t xml:space="preserve">The landing page (</w:t>
      </w:r>
      <w:r>
        <w:rPr>
          <w:rStyle w:val="VerbatimChar"/>
        </w:rPr>
        <w:t xml:space="preserve">index.html</w:t>
      </w:r>
      <w:r>
        <w:t xml:space="preserve">) shows a gallery of the four sheets with thumbnails and</w:t>
      </w:r>
      <w:r>
        <w:t xml:space="preserve"> </w:t>
      </w:r>
      <w:r>
        <w:t xml:space="preserve">metadata (drawing number, title, revision). Click any sheet to open its interactive</w:t>
      </w:r>
      <w:r>
        <w:t xml:space="preserve"> </w:t>
      </w:r>
      <w:r>
        <w:t xml:space="preserve">view.</w:t>
      </w:r>
    </w:p>
    <w:p>
      <w:r>
        <w:pict>
          <v:rect style="width:0;height:1.5pt" o:hralign="center" o:hrstd="t" o:hr="t"/>
        </w:pict>
      </w:r>
    </w:p>
    <w:bookmarkEnd w:id="22"/>
    <w:bookmarkStart w:id="31" w:name="controls-per-sheet-view"/>
    <w:p>
      <w:pPr>
        <w:pStyle w:val="Heading2"/>
      </w:pPr>
      <w:r>
        <w:t xml:space="preserve">4. Controls (per-sheet view)</w:t>
      </w:r>
    </w:p>
    <w:bookmarkStart w:id="23" w:name="layer-panel"/>
    <w:p>
      <w:pPr>
        <w:pStyle w:val="Heading3"/>
      </w:pPr>
      <w:r>
        <w:t xml:space="preserve">4.1 Layer panel</w:t>
      </w:r>
    </w:p>
    <w:p>
      <w:pPr>
        <w:numPr>
          <w:ilvl w:val="0"/>
          <w:numId w:val="1001"/>
        </w:numPr>
        <w:pStyle w:val="Compact"/>
      </w:pPr>
      <w:r>
        <w:t xml:space="preserve">Each of the 24 layers has a checkbox; class layers show a</w:t>
      </w:r>
      <w:r>
        <w:t xml:space="preserve"> </w:t>
      </w:r>
      <w:r>
        <w:rPr>
          <w:bCs/>
          <w:b/>
        </w:rPr>
        <w:t xml:space="preserve">colour swatch</w:t>
      </w:r>
      <w:r>
        <w:t xml:space="preserve"> </w:t>
      </w:r>
      <w:r>
        <w:t xml:space="preserve">matching</w:t>
      </w:r>
      <w:r>
        <w:t xml:space="preserve"> </w:t>
      </w:r>
      <w:r>
        <w:t xml:space="preserve">the printed legend (see Colour &amp; Legend Guide §2).</w:t>
      </w:r>
    </w:p>
    <w:p>
      <w:pPr>
        <w:numPr>
          <w:ilvl w:val="0"/>
          <w:numId w:val="1001"/>
        </w:numPr>
        <w:pStyle w:val="Compact"/>
      </w:pPr>
      <w:r>
        <w:t xml:space="preserve">Layers are grouped (frame/title, process pipes, equipment, instruments, annotation,</w:t>
      </w:r>
      <w:r>
        <w:t xml:space="preserve"> </w:t>
      </w:r>
      <w:r>
        <w:t xml:space="preserve">reference) for quick navigation.</w:t>
      </w:r>
    </w:p>
    <w:p>
      <w:pPr>
        <w:numPr>
          <w:ilvl w:val="0"/>
          <w:numId w:val="1001"/>
        </w:numPr>
        <w:pStyle w:val="Compact"/>
      </w:pPr>
      <w:r>
        <w:t xml:space="preserve">Toggling a layer immediately shows/hides it in the drawing.</w:t>
      </w:r>
    </w:p>
    <w:bookmarkEnd w:id="23"/>
    <w:bookmarkStart w:id="24" w:name="default-views-presets"/>
    <w:p>
      <w:pPr>
        <w:pStyle w:val="Heading3"/>
      </w:pPr>
      <w:r>
        <w:t xml:space="preserve">4.2 Default views (presets)</w:t>
      </w:r>
    </w:p>
    <w:p>
      <w:pPr>
        <w:numPr>
          <w:ilvl w:val="0"/>
          <w:numId w:val="1002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Views</w:t>
      </w:r>
      <w:r>
        <w:t xml:space="preserve"> </w:t>
      </w:r>
      <w:r>
        <w:t xml:space="preserve">selector applies one of the five presets: FULL, PROCESS, CONTROL,</w:t>
      </w:r>
      <w:r>
        <w:t xml:space="preserve"> </w:t>
      </w:r>
      <w:r>
        <w:t xml:space="preserve">MAIN, PRINT_MONO (documented in</w:t>
      </w:r>
      <w:r>
        <w:t xml:space="preserve"> </w:t>
      </w:r>
      <w:r>
        <w:rPr>
          <w:rStyle w:val="VerbatimChar"/>
        </w:rPr>
        <w:t xml:space="preserve">DEFAULT_VIEWS_DOCUMENTATION.md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t xml:space="preserve">Selecting a preset updates the layer checkboxes; you can then fine-tune individual</w:t>
      </w:r>
      <w:r>
        <w:t xml:space="preserve"> </w:t>
      </w:r>
      <w:r>
        <w:t xml:space="preserve">layers on top of the preset.</w:t>
      </w:r>
    </w:p>
    <w:bookmarkEnd w:id="24"/>
    <w:bookmarkStart w:id="25" w:name="tag-search"/>
    <w:p>
      <w:pPr>
        <w:pStyle w:val="Heading3"/>
      </w:pPr>
      <w:r>
        <w:t xml:space="preserve">4.3 Tag search</w:t>
      </w:r>
    </w:p>
    <w:p>
      <w:pPr>
        <w:numPr>
          <w:ilvl w:val="0"/>
          <w:numId w:val="1003"/>
        </w:numPr>
        <w:pStyle w:val="Compact"/>
      </w:pPr>
      <w:r>
        <w:t xml:space="preserve">Type a tag (e.g. </w:t>
      </w:r>
      <w:r>
        <w:rPr>
          <w:rStyle w:val="VerbatimChar"/>
        </w:rPr>
        <w:t xml:space="preserve">CV500</w:t>
      </w:r>
      <w:r>
        <w:t xml:space="preserve">) in the</w:t>
      </w:r>
      <w:r>
        <w:t xml:space="preserve"> </w:t>
      </w:r>
      <w:r>
        <w:rPr>
          <w:bCs/>
          <w:b/>
        </w:rPr>
        <w:t xml:space="preserve">Search</w:t>
      </w:r>
      <w:r>
        <w:t xml:space="preserve"> </w:t>
      </w:r>
      <w:r>
        <w:t xml:space="preserve">box.</w:t>
      </w:r>
    </w:p>
    <w:p>
      <w:pPr>
        <w:numPr>
          <w:ilvl w:val="0"/>
          <w:numId w:val="1003"/>
        </w:numPr>
        <w:pStyle w:val="Compact"/>
      </w:pPr>
      <w:r>
        <w:t xml:space="preserve">Matching tags are highlighted and the view</w:t>
      </w:r>
      <w:r>
        <w:t xml:space="preserve"> </w:t>
      </w:r>
      <w:r>
        <w:rPr>
          <w:bCs/>
          <w:b/>
        </w:rPr>
        <w:t xml:space="preserve">pans/zooms to the first match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Use the next/prev controls (or repeated Enter) to cycle through multiple matches.</w:t>
      </w:r>
    </w:p>
    <w:bookmarkEnd w:id="25"/>
    <w:bookmarkStart w:id="26" w:name="mono-toggle"/>
    <w:p>
      <w:pPr>
        <w:pStyle w:val="Heading3"/>
      </w:pPr>
      <w:r>
        <w:t xml:space="preserve">4.4 Mono toggle</w:t>
      </w:r>
    </w:p>
    <w:p>
      <w:pPr>
        <w:numPr>
          <w:ilvl w:val="0"/>
          <w:numId w:val="1004"/>
        </w:numPr>
        <w:pStyle w:val="Compact"/>
      </w:pPr>
      <w:r>
        <w:t xml:space="preserve">Switches the drawing between</w:t>
      </w:r>
      <w:r>
        <w:t xml:space="preserve"> </w:t>
      </w:r>
      <w:r>
        <w:rPr>
          <w:bCs/>
          <w:b/>
        </w:rPr>
        <w:t xml:space="preserve">colour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monochrome</w:t>
      </w:r>
      <w:r>
        <w:t xml:space="preserve"> </w:t>
      </w:r>
      <w:r>
        <w:t xml:space="preserve">rendering. In mono mode,</w:t>
      </w:r>
      <w:r>
        <w:t xml:space="preserve"> </w:t>
      </w:r>
      <w:r>
        <w:t xml:space="preserve">classes remain identifiable via inline line names and line-weight/dash differences.</w:t>
      </w:r>
    </w:p>
    <w:bookmarkEnd w:id="26"/>
    <w:bookmarkStart w:id="27" w:name="style-toggle"/>
    <w:p>
      <w:pPr>
        <w:pStyle w:val="Heading3"/>
      </w:pPr>
      <w:r>
        <w:t xml:space="preserve">4.5 Style toggle</w:t>
      </w:r>
    </w:p>
    <w:p>
      <w:pPr>
        <w:numPr>
          <w:ilvl w:val="0"/>
          <w:numId w:val="1005"/>
        </w:numPr>
        <w:pStyle w:val="Compact"/>
      </w:pPr>
      <w:r>
        <w:t xml:space="preserve">Switches between the filled/coloured presentation and a line-weight-only</w:t>
      </w:r>
      <w:r>
        <w:t xml:space="preserve"> </w:t>
      </w:r>
      <w:r>
        <w:t xml:space="preserve">presentation.</w:t>
      </w:r>
    </w:p>
    <w:bookmarkEnd w:id="27"/>
    <w:bookmarkStart w:id="28" w:name="zoom-pan"/>
    <w:p>
      <w:pPr>
        <w:pStyle w:val="Heading3"/>
      </w:pPr>
      <w:r>
        <w:t xml:space="preserve">4.6 Zoom &amp; pan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Scroll wheel</w:t>
      </w:r>
      <w:r>
        <w:t xml:space="preserve"> </w:t>
      </w:r>
      <w:r>
        <w:t xml:space="preserve">(or zoom buttons) to zoom;</w:t>
      </w:r>
      <w:r>
        <w:t xml:space="preserve"> </w:t>
      </w:r>
      <w:r>
        <w:rPr>
          <w:bCs/>
          <w:b/>
        </w:rPr>
        <w:t xml:space="preserve">click-drag</w:t>
      </w:r>
      <w:r>
        <w:t xml:space="preserve"> </w:t>
      </w:r>
      <w:r>
        <w:t xml:space="preserve">to pan.</w:t>
      </w:r>
    </w:p>
    <w:p>
      <w:pPr>
        <w:numPr>
          <w:ilvl w:val="0"/>
          <w:numId w:val="1006"/>
        </w:numPr>
        <w:pStyle w:val="Compact"/>
      </w:pPr>
      <w:r>
        <w:t xml:space="preserve">A reset/fit control returns to the full-sheet view.</w:t>
      </w:r>
    </w:p>
    <w:bookmarkEnd w:id="28"/>
    <w:bookmarkStart w:id="29" w:name="valve-overlay"/>
    <w:p>
      <w:pPr>
        <w:pStyle w:val="Heading3"/>
      </w:pPr>
      <w:r>
        <w:t xml:space="preserve">4.7 Valve overlay</w:t>
      </w:r>
    </w:p>
    <w:p>
      <w:pPr>
        <w:numPr>
          <w:ilvl w:val="0"/>
          <w:numId w:val="1007"/>
        </w:numPr>
        <w:pStyle w:val="Compact"/>
      </w:pPr>
      <w:r>
        <w:t xml:space="preserve">Enabling the</w:t>
      </w:r>
      <w:r>
        <w:t xml:space="preserve"> </w:t>
      </w:r>
      <w:r>
        <w:rPr>
          <w:rStyle w:val="VerbatimChar"/>
        </w:rPr>
        <w:t xml:space="preserve">08B_Valves_HORIZONTAL_OVERLAY</w:t>
      </w:r>
      <w:r>
        <w:t xml:space="preserve"> </w:t>
      </w:r>
      <w:r>
        <w:t xml:space="preserve">layer shows the alternative horizontal</w:t>
      </w:r>
      <w:r>
        <w:t xml:space="preserve"> </w:t>
      </w:r>
      <w:r>
        <w:t xml:space="preserve">valve representation on top of the standard symbols (off by default).</w:t>
      </w:r>
    </w:p>
    <w:bookmarkEnd w:id="29"/>
    <w:bookmarkStart w:id="30" w:name="png-export"/>
    <w:p>
      <w:pPr>
        <w:pStyle w:val="Heading3"/>
      </w:pPr>
      <w:r>
        <w:t xml:space="preserve">4.8 PNG export</w:t>
      </w:r>
    </w:p>
    <w:p>
      <w:pPr>
        <w:numPr>
          <w:ilvl w:val="0"/>
          <w:numId w:val="1008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Export PNG</w:t>
      </w:r>
      <w:r>
        <w:t xml:space="preserve"> </w:t>
      </w:r>
      <w:r>
        <w:t xml:space="preserve">button rasterises the current view (with the current layer</w:t>
      </w:r>
      <w:r>
        <w:t xml:space="preserve"> </w:t>
      </w:r>
      <w:r>
        <w:t xml:space="preserve">visibility, mono/style state and zoom) and downloads it as a PNG.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tips"/>
    <w:p>
      <w:pPr>
        <w:pStyle w:val="Heading2"/>
      </w:pPr>
      <w:r>
        <w:t xml:space="preserve">5. Tips</w:t>
      </w:r>
    </w:p>
    <w:p>
      <w:pPr>
        <w:numPr>
          <w:ilvl w:val="0"/>
          <w:numId w:val="1009"/>
        </w:numPr>
        <w:pStyle w:val="Compact"/>
      </w:pPr>
      <w:r>
        <w:t xml:space="preserve">Start from a</w:t>
      </w:r>
      <w:r>
        <w:t xml:space="preserve"> </w:t>
      </w:r>
      <w:r>
        <w:rPr>
          <w:bCs/>
          <w:b/>
        </w:rPr>
        <w:t xml:space="preserve">default view</w:t>
      </w:r>
      <w:r>
        <w:t xml:space="preserve">, then toggle individual layers for a focused review.</w:t>
      </w:r>
    </w:p>
    <w:p>
      <w:pPr>
        <w:numPr>
          <w:ilvl w:val="0"/>
          <w:numId w:val="1009"/>
        </w:numPr>
        <w:pStyle w:val="Compact"/>
      </w:pPr>
      <w:r>
        <w:t xml:space="preserve">Use</w:t>
      </w:r>
      <w:r>
        <w:t xml:space="preserve"> </w:t>
      </w:r>
      <w:r>
        <w:rPr>
          <w:bCs/>
          <w:b/>
        </w:rPr>
        <w:t xml:space="preserve">PRINT_MONO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Export PNG</w:t>
      </w:r>
      <w:r>
        <w:t xml:space="preserve"> </w:t>
      </w:r>
      <w:r>
        <w:t xml:space="preserve">to verify how a sheet will look on a</w:t>
      </w:r>
      <w:r>
        <w:t xml:space="preserve"> </w:t>
      </w:r>
      <w:r>
        <w:t xml:space="preserve">black-and-white A3 plot before issuing.</w:t>
      </w:r>
    </w:p>
    <w:p>
      <w:pPr>
        <w:numPr>
          <w:ilvl w:val="0"/>
          <w:numId w:val="1009"/>
        </w:numPr>
        <w:pStyle w:val="Compact"/>
      </w:pPr>
      <w:r>
        <w:t xml:space="preserve">Tag search is the fastest way to locate a specific valve or instrument across a busy</w:t>
      </w:r>
      <w:r>
        <w:t xml:space="preserve"> </w:t>
      </w:r>
      <w:r>
        <w:t xml:space="preserve">sheet.</w:t>
      </w:r>
    </w:p>
    <w:p>
      <w:r>
        <w:pict>
          <v:rect style="width:0;height:1.5pt" o:hralign="center" o:hrstd="t" o:hr="t"/>
        </w:pict>
      </w:r>
    </w:p>
    <w:bookmarkEnd w:id="32"/>
    <w:bookmarkStart w:id="33" w:name="relationship-to-the-svgpdf-set"/>
    <w:p>
      <w:pPr>
        <w:pStyle w:val="Heading2"/>
      </w:pPr>
      <w:r>
        <w:t xml:space="preserve">6. Relationship to the SVG/PDF set</w:t>
      </w:r>
    </w:p>
    <w:p>
      <w:pPr>
        <w:pStyle w:val="FirstParagraph"/>
      </w:pPr>
      <w:r>
        <w:t xml:space="preserve">The viewer renders the same</w:t>
      </w:r>
      <w:r>
        <w:t xml:space="preserve"> </w:t>
      </w:r>
      <w:r>
        <w:rPr>
          <w:rStyle w:val="VerbatimChar"/>
        </w:rPr>
        <w:t xml:space="preserve">*_v4.svg</w:t>
      </w:r>
      <w:r>
        <w:t xml:space="preserve"> </w:t>
      </w:r>
      <w:r>
        <w:t xml:space="preserve">files delivered in</w:t>
      </w:r>
      <w:r>
        <w:t xml:space="preserve"> </w:t>
      </w:r>
      <w:r>
        <w:rPr>
          <w:rStyle w:val="VerbatimChar"/>
        </w:rPr>
        <w:t xml:space="preserve">output_v4/</w:t>
      </w:r>
      <w:r>
        <w:t xml:space="preserve">. The PDF set</w:t>
      </w:r>
      <w:r>
        <w:t xml:space="preserve"> </w:t>
      </w:r>
      <w:r>
        <w:t xml:space="preserve">(A3 landscape, 420 × 297 mm) is the formal issue format; the HTML viewer is a review</w:t>
      </w:r>
      <w:r>
        <w:t xml:space="preserve"> </w:t>
      </w:r>
      <w:r>
        <w:t xml:space="preserve">aid. Layer names, default views and class colours are identical across all formats.</w:t>
      </w:r>
    </w:p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2026-06-03T20:02:50Z</dcterms:created>
  <dcterms:modified xsi:type="dcterms:W3CDTF">2026-06-03T20:02:50Z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