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ensor-re-allocation-mapping"/>
    <w:p>
      <w:pPr>
        <w:pStyle w:val="Heading1"/>
      </w:pPr>
      <w:r>
        <w:t xml:space="preserve">Sensor Re-allocation Mapping</w:t>
      </w:r>
    </w:p>
    <w:p>
      <w:pPr>
        <w:pStyle w:val="FirstParagraph"/>
      </w:pPr>
      <w:r>
        <w:t xml:space="preserve">Derived from the QSYS instrumentation-location study (LB / LBI) and the</w:t>
      </w:r>
      <w:r>
        <w:t xml:space="preserve"> </w:t>
      </w:r>
      <w:r>
        <w:t xml:space="preserve">QM instrumentation &amp; controls brainstorming. The goal is to monitor the Piezo</w:t>
      </w:r>
      <w:r>
        <w:t xml:space="preserve"> </w:t>
      </w:r>
      <w:r>
        <w:t xml:space="preserve">(PZ) tuner thermal gradient and the MAG / coupler thermalisation points with the</w:t>
      </w:r>
      <w:r>
        <w:t xml:space="preserve"> </w:t>
      </w:r>
      <w:r>
        <w:t xml:space="preserve">correct cryogenic sensor technology.</w:t>
      </w:r>
    </w:p>
    <w:bookmarkStart w:id="20" w:name="sensor-technologies"/>
    <w:p>
      <w:pPr>
        <w:pStyle w:val="Heading2"/>
      </w:pPr>
      <w:r>
        <w:t xml:space="preserve">1. Sensor technologies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28"/>
        <w:gridCol w:w="2562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Sensor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TT-CX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Cernox® resistance thermometer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Coldest points (≤ 4 K range), high sensitivity at low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TT-PT100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Pt-100 RTD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Warmest points (&gt; 40 K range), stable at higher T</w:t>
            </w:r>
          </w:p>
        </w:tc>
      </w:tr>
    </w:tbl>
    <w:bookmarkEnd w:id="20"/>
    <w:bookmarkStart w:id="21" w:name="primary-re-allocations-pz-piezo-tuner"/>
    <w:p>
      <w:pPr>
        <w:pStyle w:val="Heading2"/>
      </w:pPr>
      <w:r>
        <w:t xml:space="preserve">2. Primary re-allocations (PZ — Piezo tuner)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80"/>
        <w:gridCol w:w="1080"/>
        <w:gridCol w:w="1560"/>
        <w:gridCol w:w="1200"/>
        <w:gridCol w:w="2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Original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source geometry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TT535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PZ535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TT-CX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Coldest part of the Piezo (PZ)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re-tagged &amp; ring-highlighted on drawing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TT525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PZ525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TT-PT100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Warmest part of the Piezo (PZ)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design re-allocation — tag not present in current source extract; applied automatically if/when present</w:t>
            </w:r>
          </w:p>
        </w:tc>
      </w:tr>
    </w:tbl>
    <w:p>
      <w:pPr>
        <w:pStyle w:val="BlockText"/>
      </w:pPr>
      <w:r>
        <w:t xml:space="preserve">On the drawings, a re-allocated sensor is shown as a normal ISA bubble with a</w:t>
      </w:r>
      <w:r>
        <w:t xml:space="preserve"> </w:t>
      </w:r>
      <w:r>
        <w:t xml:space="preserve">dashed</w:t>
      </w:r>
      <w:r>
        <w:t xml:space="preserve"> </w:t>
      </w:r>
      <w:r>
        <w:rPr>
          <w:bCs/>
          <w:b/>
        </w:rPr>
        <w:t xml:space="preserve">red highlight ring</w:t>
      </w:r>
      <w:r>
        <w:t xml:space="preserve"> </w:t>
      </w:r>
      <w:r>
        <w:t xml:space="preserve">and a red sensor-type label (</w:t>
      </w:r>
      <w:r>
        <w:rPr>
          <w:rStyle w:val="VerbatimChar"/>
        </w:rPr>
        <w:t xml:space="preserve">TT-CX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TT-PT100</w:t>
      </w:r>
      <w:r>
        <w:t xml:space="preserve">).</w:t>
      </w:r>
    </w:p>
    <w:bookmarkEnd w:id="21"/>
    <w:bookmarkStart w:id="22" w:name="mag-coupler-port-redistribution"/>
    <w:p>
      <w:pPr>
        <w:pStyle w:val="Heading2"/>
      </w:pPr>
      <w:r>
        <w:t xml:space="preserve">3. MAG &amp; coupler-port redistribution</w:t>
      </w:r>
    </w:p>
    <w:p>
      <w:pPr>
        <w:pStyle w:val="FirstParagraph"/>
      </w:pPr>
      <w:r>
        <w:t xml:space="preserve">TT-CX and TT-PT100 sensors are redistributed to monitor the MAG component and</w:t>
      </w:r>
      <w:r>
        <w:t xml:space="preserve"> </w:t>
      </w:r>
      <w:r>
        <w:t xml:space="preserve">the coupler thermalisation ports: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Sensor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 cold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Cold-end temperature of the MAG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TT-PT100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 warm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Warm-end temperature of the MAG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Coupler port (cold)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Coupler thermalisation, cold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TT-PT100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Coupler port (warm)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Coupler thermalisation, warm side</w:t>
            </w:r>
          </w:p>
        </w:tc>
      </w:tr>
    </w:tbl>
    <w:bookmarkEnd w:id="22"/>
    <w:bookmarkStart w:id="23" w:name="pz-monitoring-strategy-summary"/>
    <w:p>
      <w:pPr>
        <w:pStyle w:val="Heading2"/>
      </w:pPr>
      <w:r>
        <w:t xml:space="preserve">4. PZ monitoring strategy (summary)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TT-CX → coldest part of the Piezo</w:t>
      </w:r>
      <w:r>
        <w:t xml:space="preserve"> </w:t>
      </w:r>
      <w:r>
        <w:t xml:space="preserve">(maximum sensitivity in the 2–4 K band).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TT-PT100 → warmest part of the Piezo</w:t>
      </w:r>
      <w:r>
        <w:t xml:space="preserve"> </w:t>
      </w:r>
      <w:r>
        <w:t xml:space="preserve">(stable readout in the 40–300 K band).</w:t>
      </w:r>
    </w:p>
    <w:p>
      <w:pPr>
        <w:numPr>
          <w:ilvl w:val="0"/>
          <w:numId w:val="1001"/>
        </w:numPr>
        <w:pStyle w:val="Compact"/>
      </w:pPr>
      <w:r>
        <w:t xml:space="preserve">The pair brackets the PZ thermal gradient so the control system can verify</w:t>
      </w:r>
      <w:r>
        <w:t xml:space="preserve"> </w:t>
      </w:r>
      <w:r>
        <w:t xml:space="preserve">that the actuator stays within its allowable temperature window.</w:t>
      </w:r>
    </w:p>
    <w:bookmarkEnd w:id="23"/>
    <w:bookmarkStart w:id="24" w:name="where-to-see-it"/>
    <w:p>
      <w:pPr>
        <w:pStyle w:val="Heading2"/>
      </w:pPr>
      <w:r>
        <w:t xml:space="preserve">5. Where to see it</w:t>
      </w:r>
    </w:p>
    <w:p>
      <w:pPr>
        <w:numPr>
          <w:ilvl w:val="0"/>
          <w:numId w:val="1002"/>
        </w:numPr>
        <w:pStyle w:val="Compact"/>
      </w:pPr>
      <w:r>
        <w:t xml:space="preserve">Re-allocated PZ sensors appear on the</w:t>
      </w:r>
      <w:r>
        <w:t xml:space="preserve"> </w:t>
      </w:r>
      <w:r>
        <w:rPr>
          <w:bCs/>
          <w:b/>
        </w:rPr>
        <w:t xml:space="preserve">Instrumentation sheets</w:t>
      </w:r>
      <w:r>
        <w:t xml:space="preserve"> </w:t>
      </w:r>
      <w:r>
        <w:t xml:space="preserve">(Sheet 2)</w:t>
      </w:r>
      <w:r>
        <w:t xml:space="preserve"> </w:t>
      </w:r>
      <w:r>
        <w:t xml:space="preserve">of both QCELL and RFCELL, on</w:t>
      </w:r>
      <w:r>
        <w:t xml:space="preserve"> </w:t>
      </w:r>
      <w:r>
        <w:rPr>
          <w:bCs/>
          <w:b/>
        </w:rPr>
        <w:t xml:space="preserve">Layer 9 — Instruments</w:t>
      </w:r>
      <w:r>
        <w:t xml:space="preserve"> </w:t>
      </w:r>
      <w:r>
        <w:t xml:space="preserve">(bubble) with the</w:t>
      </w:r>
      <w:r>
        <w:t xml:space="preserve"> </w:t>
      </w:r>
      <w:r>
        <w:t xml:space="preserve">red highlight, and the sensor-type callout on</w:t>
      </w:r>
      <w:r>
        <w:t xml:space="preserve"> </w:t>
      </w:r>
      <w:r>
        <w:rPr>
          <w:bCs/>
          <w:b/>
        </w:rPr>
        <w:t xml:space="preserve">Layer 12 — Tags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machine-readable record is in</w:t>
      </w:r>
      <w:r>
        <w:t xml:space="preserve"> </w:t>
      </w:r>
      <w:r>
        <w:rPr>
          <w:rStyle w:val="VerbatimChar"/>
        </w:rPr>
        <w:t xml:space="preserve">_build_meta.json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mag_coupler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2026-06-03T16:30:36Z</dcterms:created>
  <dcterms:modified xsi:type="dcterms:W3CDTF">2026-06-03T16:30:36Z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