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0bf564e879e17c056c67ffa8aa4f1cb1a7ce5e"/>
    <w:p>
      <w:pPr>
        <w:pStyle w:val="Heading1"/>
      </w:pPr>
      <w:r>
        <w:t xml:space="preserve">Unmapped Element Reduction Analysis — Wave W003 Phase 1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CryoCell / QCELL &amp; RFCELL P&amp;ID — colour-line model</w:t>
      </w:r>
      <w:r>
        <w:t xml:space="preserve"> </w:t>
      </w:r>
      <w:r>
        <w:rPr>
          <w:bCs/>
          <w:b/>
        </w:rPr>
        <w:t xml:space="preserve">Wave:</w:t>
      </w:r>
      <w:r>
        <w:t xml:space="preserve"> </w:t>
      </w:r>
      <w:r>
        <w:t xml:space="preserve">W003 (Layer Hierarchy), Phase 1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Legend-driven reclassification of previously-unmapped SVG elements.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1.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Unmapped elements (entering W003, from W002)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Reclassified into a known category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Still unresolved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Reduction achieved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88.6 %</w:t>
            </w:r>
          </w:p>
        </w:tc>
      </w:tr>
    </w:tbl>
    <w:p>
      <w:pPr>
        <w:pStyle w:val="BodyText"/>
      </w:pPr>
      <w:r>
        <w:t xml:space="preserve">The 982 elements that W002 could not bind to a colour-line were re-examined against</w:t>
      </w:r>
      <w:r>
        <w:t xml:space="preserve"> </w:t>
      </w:r>
      <w:r>
        <w:t xml:space="preserve">the extracted legend symbols and against their geometric/shape signature (dot, triangle,</w:t>
      </w:r>
      <w:r>
        <w:t xml:space="preserve"> </w:t>
      </w:r>
      <w:r>
        <w:t xml:space="preserve">bubble, rectangle, leader line, arrow, structural path). 870 of them (88.6 %) were</w:t>
      </w:r>
      <w:r>
        <w:t xml:space="preserve"> </w:t>
      </w:r>
      <w:r>
        <w:t xml:space="preserve">confidently routed to a functional category. The residual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are all in a single</w:t>
      </w:r>
      <w:r>
        <w:t xml:space="preserve"> </w:t>
      </w:r>
      <w:r>
        <w:t xml:space="preserve">bucket —</w:t>
      </w:r>
      <w:r>
        <w:t xml:space="preserve"> </w:t>
      </w:r>
      <w:r>
        <w:rPr>
          <w:rStyle w:val="VerbatimChar"/>
        </w:rPr>
        <w:t xml:space="preserve">UNRESOLVED_OTHER_COLOUR</w:t>
      </w:r>
      <w:r>
        <w:t xml:space="preserve"> </w:t>
      </w:r>
      <w:r>
        <w:t xml:space="preserve">— corresponding to the magenta / non-canonical</w:t>
      </w:r>
      <w:r>
        <w:t xml:space="preserve"> </w:t>
      </w:r>
      <w:r>
        <w:t xml:space="preserve">colour family that has no legend entry yet.</w:t>
      </w:r>
    </w:p>
    <w:bookmarkEnd w:id="20"/>
    <w:bookmarkStart w:id="21" w:name="reclassified-categories-870"/>
    <w:p>
      <w:pPr>
        <w:pStyle w:val="Heading2"/>
      </w:pPr>
      <w:r>
        <w:t xml:space="preserve">2. Reclassified categories (870)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symbol_glyph_or_heatload_marker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 glyphs and heat-load marker fragments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structure_leader_or_signal_line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 lines / signal (dashed)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spec_change_dot_uncoloured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Spec-change dots with no colour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instrument_bubble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bubbles (circles around tags)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structure_symbol_path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symbol outlines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annotation_flow_arrow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Flow-direction arrows used as annotation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structure_boundary_or_titleblock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boundary / title-block rectangles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870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Representative element IDs per category are stored in</w:t>
      </w:r>
      <w:r>
        <w:t xml:space="preserve"> </w:t>
      </w:r>
      <w:r>
        <w:rPr>
          <w:rStyle w:val="VerbatimChar"/>
        </w:rPr>
        <w:t xml:space="preserve">data/model/unmapped_reduction.json → examples</w:t>
      </w:r>
      <w:r>
        <w:t xml:space="preserve">.</w:t>
      </w:r>
    </w:p>
    <w:bookmarkEnd w:id="21"/>
    <w:bookmarkStart w:id="22" w:name="still-unresolved-112"/>
    <w:p>
      <w:pPr>
        <w:pStyle w:val="Heading2"/>
      </w:pPr>
      <w:r>
        <w:t xml:space="preserve">3. Still unresolved (112)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UNRESOLVED_OTHER_COLOUR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DEFERRED</w:t>
            </w:r>
            <w:r>
              <w:t xml:space="preserve"> </w:t>
            </w:r>
            <w:r>
              <w:t xml:space="preserve">— magenta / non-canonical colour family</w:t>
            </w:r>
          </w:p>
        </w:tc>
      </w:tr>
    </w:tbl>
    <w:p>
      <w:pPr>
        <w:pStyle w:val="BodyText"/>
      </w:pPr>
      <w:r>
        <w:t xml:space="preserve">These elements (e.g. </w:t>
      </w:r>
      <w:r>
        <w:rPr>
          <w:rStyle w:val="VerbatimChar"/>
        </w:rPr>
        <w:t xml:space="preserve">path42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path44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path62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path63</w:t>
      </w:r>
      <w:r>
        <w:t xml:space="preserve">) carry a fill colour outside</w:t>
      </w:r>
      <w:r>
        <w:t xml:space="preserve"> </w:t>
      </w:r>
      <w:r>
        <w:t xml:space="preserve">the canonical palette (BLUE→A, CYAN→B, GREEN→W, OLIVE→S, GREY→V, ORANGE→D, RED→E,</w:t>
      </w:r>
      <w:r>
        <w:t xml:space="preserve"> </w:t>
      </w:r>
      <w:r>
        <w:t xml:space="preserve">BLACK→structure). No legend swatch maps to them. They are</w:t>
      </w:r>
      <w:r>
        <w:t xml:space="preserve"> </w:t>
      </w:r>
      <w:r>
        <w:rPr>
          <w:bCs/>
          <w:b/>
        </w:rPr>
        <w:t xml:space="preserve">honestly retained as</w:t>
      </w:r>
      <w:r>
        <w:rPr>
          <w:bCs/>
          <w:b/>
        </w:rPr>
        <w:t xml:space="preserve"> </w:t>
      </w:r>
      <w:r>
        <w:rPr>
          <w:bCs/>
          <w:b/>
        </w:rPr>
        <w:t xml:space="preserve">unresolved</w:t>
      </w:r>
      <w:r>
        <w:t xml:space="preserve"> </w:t>
      </w:r>
      <w:r>
        <w:t xml:space="preserve">rather than force-fit, and are tracked in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 </w:t>
      </w:r>
      <w:r>
        <w:t xml:space="preserve">for a future</w:t>
      </w:r>
      <w:r>
        <w:t xml:space="preserve"> </w:t>
      </w:r>
      <w:r>
        <w:t xml:space="preserve">legend-augmentation pass.</w:t>
      </w:r>
    </w:p>
    <w:bookmarkEnd w:id="22"/>
    <w:bookmarkStart w:id="23" w:name="provenance"/>
    <w:p>
      <w:pPr>
        <w:pStyle w:val="Heading2"/>
      </w:pPr>
      <w:r>
        <w:t xml:space="preserve">4. Provenance</w:t>
      </w:r>
    </w:p>
    <w:p>
      <w:pPr>
        <w:numPr>
          <w:ilvl w:val="0"/>
          <w:numId w:val="1001"/>
        </w:numPr>
        <w:pStyle w:val="Compact"/>
      </w:pPr>
      <w:r>
        <w:t xml:space="preserve">Engine:</w:t>
      </w:r>
      <w:r>
        <w:t xml:space="preserve"> </w:t>
      </w:r>
      <w:r>
        <w:rPr>
          <w:rStyle w:val="VerbatimChar"/>
        </w:rPr>
        <w:t xml:space="preserve">src/abacus_svg_pid/build_w003_w004.py</w:t>
      </w:r>
      <w:r>
        <w:t xml:space="preserve"> </w:t>
      </w:r>
      <w:r>
        <w:t xml:space="preserve">(Phase 1)</w:t>
      </w:r>
    </w:p>
    <w:p>
      <w:pPr>
        <w:numPr>
          <w:ilvl w:val="0"/>
          <w:numId w:val="1001"/>
        </w:numPr>
        <w:pStyle w:val="Compact"/>
      </w:pPr>
      <w:r>
        <w:t xml:space="preserve">Geometry extraction:</w:t>
      </w:r>
      <w:r>
        <w:t xml:space="preserve"> </w:t>
      </w:r>
      <w:r>
        <w:rPr>
          <w:rStyle w:val="VerbatimChar"/>
        </w:rPr>
        <w:t xml:space="preserve">src/abacus_svg_pid/geometry.py</w:t>
      </w:r>
      <w:r>
        <w:t xml:space="preserve"> </w:t>
      </w:r>
      <w:r>
        <w:t xml:space="preserve">(CTM-resolved bbox/centroid/shape)</w:t>
      </w:r>
    </w:p>
    <w:p>
      <w:pPr>
        <w:numPr>
          <w:ilvl w:val="0"/>
          <w:numId w:val="1001"/>
        </w:numPr>
        <w:pStyle w:val="Compact"/>
      </w:pPr>
      <w:r>
        <w:t xml:space="preserve">Machine-readable output:</w:t>
      </w:r>
      <w:r>
        <w:t xml:space="preserve"> </w:t>
      </w:r>
      <w:r>
        <w:rPr>
          <w:rStyle w:val="VerbatimChar"/>
        </w:rPr>
        <w:t xml:space="preserve">data/model/unmapped_reduction.json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2026-06-04T15:26:34Z</dcterms:created>
  <dcterms:modified xsi:type="dcterms:W3CDTF">2026-06-04T15:26:34Z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