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b99aa300cce9314463c5a183611ce7a2e9cdf8"/>
    <w:p>
      <w:pPr>
        <w:pStyle w:val="Heading1"/>
      </w:pPr>
      <w:r>
        <w:t xml:space="preserve">MINERVA CryoCell P&amp;ID — Colour &amp; Legend Guide (v4)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— SCK CEN (MYRRHA/MINERVA Phase 1)</w:t>
      </w:r>
      <w:r>
        <w:t xml:space="preserve"> </w:t>
      </w:r>
      <w:r>
        <w:rPr>
          <w:bCs/>
          <w:b/>
        </w:rPr>
        <w:t xml:space="preserve">Consultant:</w:t>
      </w:r>
      <w:r>
        <w:t xml:space="preserve"> </w:t>
      </w:r>
      <w:r>
        <w:t xml:space="preserve">Mott MacDonald, Bristol UK — MMD 411066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SCK CEN, Boeretang 200, 2400 Mol, Belgium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SCK CEN AD_01.16 (P&amp;ID conventions)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S2 — FOR ACCEPTANCE · RESTRICTED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guide explains the colour coding, line-weight conventions and legend tables used</w:t>
      </w:r>
      <w:r>
        <w:t xml:space="preserve"> </w:t>
      </w:r>
      <w:r>
        <w:t xml:space="preserve">across the v4 MINERVA CryoCell P&amp;ID set. It applies to all four sheets</w:t>
      </w:r>
      <w:r>
        <w:t xml:space="preserve"> </w:t>
      </w:r>
      <w:r>
        <w:t xml:space="preserve">(QCELL</w:t>
      </w:r>
      <w:r>
        <w:t xml:space="preserve"> </w:t>
      </w:r>
      <w:r>
        <w:rPr>
          <w:rStyle w:val="VerbatimChar"/>
        </w:rPr>
        <w:t xml:space="preserve">=NA.PS01_PFB712</w:t>
      </w:r>
      <w:r>
        <w:t xml:space="preserve"> </w:t>
      </w:r>
      <w:r>
        <w:t xml:space="preserve">and RFCELL</w:t>
      </w:r>
      <w:r>
        <w:t xml:space="preserve"> </w:t>
      </w:r>
      <w:r>
        <w:rPr>
          <w:rStyle w:val="VerbatimChar"/>
        </w:rPr>
        <w:t xml:space="preserve">=NA.PS01_PFB713</w:t>
      </w:r>
      <w:r>
        <w:t xml:space="preserve">, process + utilities).</w:t>
      </w:r>
    </w:p>
    <w:p>
      <w:pPr>
        <w:pStyle w:val="BodyText"/>
      </w:pPr>
      <w:r>
        <w:t xml:space="preserve">The drawing set is designed to be read in</w:t>
      </w:r>
      <w:r>
        <w:t xml:space="preserve"> </w:t>
      </w:r>
      <w:r>
        <w:rPr>
          <w:bCs/>
          <w:b/>
        </w:rPr>
        <w:t xml:space="preserve">two complementary modes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Colour (STD) mode</w:t>
      </w:r>
      <w:r>
        <w:t xml:space="preserve"> </w:t>
      </w:r>
      <w:r>
        <w:t xml:space="preserve">— fluid/service class is identified primarily by line colour.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Mono mode</w:t>
      </w:r>
      <w:r>
        <w:t xml:space="preserve"> </w:t>
      </w:r>
      <w:r>
        <w:t xml:space="preserve">— for black-and-white printing, class is identified by</w:t>
      </w:r>
      <w:r>
        <w:t xml:space="preserve"> </w:t>
      </w:r>
      <w:r>
        <w:rPr>
          <w:bCs/>
          <w:b/>
        </w:rPr>
        <w:t xml:space="preserve">inline pipe</w:t>
      </w:r>
      <w:r>
        <w:rPr>
          <w:bCs/>
          <w:b/>
        </w:rPr>
        <w:t xml:space="preserve"> </w:t>
      </w:r>
      <w:r>
        <w:rPr>
          <w:bCs/>
          <w:b/>
        </w:rPr>
        <w:t xml:space="preserve">names</w:t>
      </w:r>
      <w:r>
        <w:t xml:space="preserve"> </w:t>
      </w:r>
      <w:r>
        <w:t xml:space="preserve">printed directly on the run, plus differentiated line weights and dash</w:t>
      </w:r>
      <w:r>
        <w:t xml:space="preserve"> </w:t>
      </w:r>
      <w:r>
        <w:t xml:space="preserve">patterns. No information is lost when colour is removed.</w:t>
      </w:r>
    </w:p>
    <w:p>
      <w:r>
        <w:pict>
          <v:rect style="width:0;height:1.5pt" o:hralign="center" o:hrstd="t" o:hr="t"/>
        </w:pict>
      </w:r>
    </w:p>
    <w:bookmarkEnd w:id="20"/>
    <w:bookmarkStart w:id="21" w:name="fluid-service-class-colours"/>
    <w:p>
      <w:pPr>
        <w:pStyle w:val="Heading2"/>
      </w:pPr>
      <w:r>
        <w:t xml:space="preserve">2. Fluid / Service Class Colours</w:t>
      </w:r>
    </w:p>
    <w:p>
      <w:pPr>
        <w:pStyle w:val="FirstParagraph"/>
      </w:pPr>
      <w:r>
        <w:t xml:space="preserve">Each process class has a dedicated colour, design temperature and design pressure.</w:t>
      </w:r>
      <w:r>
        <w:t xml:space="preserve"> </w:t>
      </w:r>
      <w:r>
        <w:t xml:space="preserve">These are summarised in the on-sheet</w:t>
      </w:r>
      <w:r>
        <w:t xml:space="preserve"> </w:t>
      </w:r>
      <w:r>
        <w:rPr>
          <w:bCs/>
          <w:b/>
        </w:rPr>
        <w:t xml:space="preserve">Class Legend</w:t>
      </w:r>
      <w:r>
        <w:t xml:space="preserve"> </w:t>
      </w:r>
      <w:r>
        <w:t xml:space="preserve">table (layer</w:t>
      </w:r>
      <w:r>
        <w:t xml:space="preserve"> </w:t>
      </w:r>
      <w:r>
        <w:rPr>
          <w:rStyle w:val="VerbatimChar"/>
        </w:rPr>
        <w:t xml:space="preserve">16_Legend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52"/>
        <w:gridCol w:w="2236"/>
        <w:gridCol w:w="1584"/>
        <w:gridCol w:w="931"/>
        <w:gridCol w:w="1211"/>
        <w:gridCol w:w="1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helium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#0033cc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 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#00a6bd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water (CW)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#00a000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 helium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#8a8a00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/ plant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#c000c0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bar (g)</w:t>
            </w:r>
          </w:p>
        </w:tc>
      </w:tr>
    </w:tbl>
    <w:p>
      <w:pPr>
        <w:pStyle w:val="BlockText"/>
      </w:pPr>
      <w:r>
        <w:t xml:space="preserve">The colour swatches in the interactive HTML viewer’s layer panel match these hex</w:t>
      </w:r>
      <w:r>
        <w:t xml:space="preserve"> </w:t>
      </w:r>
      <w:r>
        <w:t xml:space="preserve">values exactly, so on-screen toggling reflects the printed legend.</w:t>
      </w:r>
    </w:p>
    <w:p>
      <w:r>
        <w:pict>
          <v:rect style="width:0;height:1.5pt" o:hralign="center" o:hrstd="t" o:hr="t"/>
        </w:pict>
      </w:r>
    </w:p>
    <w:bookmarkEnd w:id="21"/>
    <w:bookmarkStart w:id="22" w:name="mono-mode-line-weights-names"/>
    <w:p>
      <w:pPr>
        <w:pStyle w:val="Heading2"/>
      </w:pPr>
      <w:r>
        <w:t xml:space="preserve">3. Mono-Mode Line Weights &amp; Names</w:t>
      </w:r>
    </w:p>
    <w:p>
      <w:pPr>
        <w:pStyle w:val="FirstParagraph"/>
      </w:pPr>
      <w:r>
        <w:t xml:space="preserve">When colour is suppressed (mono toggle / black-and-white printing), classes are</w:t>
      </w:r>
      <w:r>
        <w:t xml:space="preserve"> </w:t>
      </w:r>
      <w:r>
        <w:t xml:space="preserve">distinguished by: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Inline pipe names</w:t>
      </w:r>
      <w:r>
        <w:t xml:space="preserve"> </w:t>
      </w:r>
      <w:r>
        <w:t xml:space="preserve">— the line identifier is printed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the pipe run at regular</w:t>
      </w:r>
      <w:r>
        <w:t xml:space="preserve"> </w:t>
      </w:r>
      <w:r>
        <w:t xml:space="preserve">intervals so the reader never has to trace a line back to a colour key. Examples: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40K PRIMARY</w:t>
      </w:r>
      <w:r>
        <w:t xml:space="preserve"> </w:t>
      </w:r>
      <w:r>
        <w:t xml:space="preserve">(Class D supply header)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2K0-4"-PAC1-BA</w:t>
      </w:r>
      <w:r>
        <w:t xml:space="preserve"> </w:t>
      </w:r>
      <w:r>
        <w:t xml:space="preserve">(Class B, 4-inch, line tag PAC1-BA)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Line weight</w:t>
      </w:r>
      <w:r>
        <w:t xml:space="preserve"> </w:t>
      </w:r>
      <w:r>
        <w:t xml:space="preserve">— primary process headers are drawn heavier than branch/utility runs.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 pattern</w:t>
      </w:r>
      <w:r>
        <w:t xml:space="preserve"> </w:t>
      </w:r>
      <w:r>
        <w:t xml:space="preserve">— signal and pneumatic lines use distinct dashed/dotted patterns</w:t>
      </w:r>
      <w:r>
        <w:t xml:space="preserve"> </w:t>
      </w:r>
      <w:r>
        <w:t xml:space="preserve">(see Signal Legend below).</w:t>
      </w:r>
    </w:p>
    <w:p>
      <w:pPr>
        <w:pStyle w:val="FirstParagraph"/>
      </w:pPr>
      <w:r>
        <w:t xml:space="preserve">This guarantees AD_01.16 legibility on a monochrome A3 plot.</w:t>
      </w:r>
    </w:p>
    <w:p>
      <w:r>
        <w:pict>
          <v:rect style="width:0;height:1.5pt" o:hralign="center" o:hrstd="t" o:hr="t"/>
        </w:pict>
      </w:r>
    </w:p>
    <w:bookmarkEnd w:id="22"/>
    <w:bookmarkStart w:id="23" w:name="signal-connection-legend"/>
    <w:p>
      <w:pPr>
        <w:pStyle w:val="Heading2"/>
      </w:pPr>
      <w:r>
        <w:t xml:space="preserve">4. Signal / Connection Legend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Signal Legend</w:t>
      </w:r>
      <w:r>
        <w:t xml:space="preserve"> </w:t>
      </w:r>
      <w:r>
        <w:t xml:space="preserve">table (also on layer</w:t>
      </w:r>
      <w:r>
        <w:t xml:space="preserve"> </w:t>
      </w:r>
      <w:r>
        <w:rPr>
          <w:rStyle w:val="VerbatimChar"/>
        </w:rPr>
        <w:t xml:space="preserve">16_Legend</w:t>
      </w:r>
      <w:r>
        <w:t xml:space="preserve">) documents instrument and</w:t>
      </w:r>
      <w:r>
        <w:t xml:space="preserve"> </w:t>
      </w:r>
      <w:r>
        <w:t xml:space="preserve">connection line styles: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process 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process / branch 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Dash-dot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/ data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 dotted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 / capillary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slash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 class / spec break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sa-instrument-bubbles-tag-boxes"/>
    <w:p>
      <w:pPr>
        <w:pStyle w:val="Heading2"/>
      </w:pPr>
      <w:r>
        <w:t xml:space="preserve">5. ISA Instrument Bubbles &amp; Tag Boxes</w:t>
      </w:r>
    </w:p>
    <w:p>
      <w:pPr>
        <w:numPr>
          <w:ilvl w:val="0"/>
          <w:numId w:val="1004"/>
        </w:numPr>
        <w:pStyle w:val="Compact"/>
      </w:pPr>
      <w:r>
        <w:t xml:space="preserve">Instrument bubbles follow ISA-5.1: circle (field), circle-in-square (DCS/shared),</w:t>
      </w:r>
      <w:r>
        <w:t xml:space="preserve"> </w:t>
      </w:r>
      <w:r>
        <w:t xml:space="preserve">hexagon (computer/PLC), with a horizontal bar for panel-mounted devices.</w:t>
      </w:r>
    </w:p>
    <w:p>
      <w:pPr>
        <w:numPr>
          <w:ilvl w:val="0"/>
          <w:numId w:val="1004"/>
        </w:numPr>
        <w:pStyle w:val="Compact"/>
      </w:pPr>
      <w:r>
        <w:t xml:space="preserve">Every valve and instrument tag is rendered inside a</w:t>
      </w:r>
      <w:r>
        <w:t xml:space="preserve"> </w:t>
      </w:r>
      <w:r>
        <w:rPr>
          <w:bCs/>
          <w:b/>
        </w:rPr>
        <w:t xml:space="preserve">white tag box</w:t>
      </w:r>
      <w:r>
        <w:t xml:space="preserve"> </w:t>
      </w:r>
      <w:r>
        <w:t xml:space="preserve">so the text</w:t>
      </w:r>
      <w:r>
        <w:t xml:space="preserve"> </w:t>
      </w:r>
      <w:r>
        <w:t xml:space="preserve">stays legible where it overlaps pipes, equipment or hatching — in both colour and</w:t>
      </w:r>
      <w:r>
        <w:t xml:space="preserve"> </w:t>
      </w:r>
      <w:r>
        <w:t xml:space="preserve">mono modes.</w:t>
      </w:r>
    </w:p>
    <w:p>
      <w:r>
        <w:pict>
          <v:rect style="width:0;height:1.5pt" o:hralign="center" o:hrstd="t" o:hr="t"/>
        </w:pict>
      </w:r>
    </w:p>
    <w:bookmarkEnd w:id="24"/>
    <w:bookmarkStart w:id="25" w:name="edge-terminal-points"/>
    <w:p>
      <w:pPr>
        <w:pStyle w:val="Heading2"/>
      </w:pPr>
      <w:r>
        <w:t xml:space="preserve">6. Edge Terminal Points</w:t>
      </w:r>
    </w:p>
    <w:p>
      <w:pPr>
        <w:pStyle w:val="FirstParagraph"/>
      </w:pPr>
      <w:r>
        <w:t xml:space="preserve">Off-sheet connections terminate at the</w:t>
      </w:r>
      <w:r>
        <w:t xml:space="preserve"> </w:t>
      </w:r>
      <w:r>
        <w:rPr>
          <w:bCs/>
          <w:b/>
        </w:rPr>
        <w:t xml:space="preserve">drawing frame edge</w:t>
      </w:r>
      <w:r>
        <w:t xml:space="preserve"> </w:t>
      </w:r>
      <w:r>
        <w:t xml:space="preserve">with a cloud-style</w:t>
      </w:r>
      <w:r>
        <w:t xml:space="preserve"> </w:t>
      </w:r>
      <w:r>
        <w:t xml:space="preserve">terminal point carrying the continuation reference (AD_01.10 style). Terminal points</w:t>
      </w:r>
      <w:r>
        <w:t xml:space="preserve"> </w:t>
      </w:r>
      <w:r>
        <w:t xml:space="preserve">are colour-classed in STD mode and labelled with the line name in mono mode.</w:t>
      </w:r>
    </w:p>
    <w:p>
      <w:r>
        <w:pict>
          <v:rect style="width:0;height:1.5pt" o:hralign="center" o:hrstd="t" o:hr="t"/>
        </w:pict>
      </w:r>
    </w:p>
    <w:bookmarkEnd w:id="25"/>
    <w:bookmarkStart w:id="26" w:name="X0ae4c6b689e450e8ede319cac3dcd4b23bfee8c"/>
    <w:p>
      <w:pPr>
        <w:pStyle w:val="Heading2"/>
      </w:pPr>
      <w:r>
        <w:t xml:space="preserve">7. Toggling Colour in the Interactive Viewer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HTML_INTERACTIVE/index.html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Mono toggle</w:t>
      </w:r>
      <w:r>
        <w:t xml:space="preserve"> </w:t>
      </w:r>
      <w:r>
        <w:t xml:space="preserve">— switches the whole set between colour and monochrome rendering.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Style toggle</w:t>
      </w:r>
      <w:r>
        <w:t xml:space="preserve"> </w:t>
      </w:r>
      <w:r>
        <w:t xml:space="preserve">— switches between the filled/coloured presentation and a</w:t>
      </w:r>
      <w:r>
        <w:t xml:space="preserve"> </w:t>
      </w:r>
      <w:r>
        <w:t xml:space="preserve">line-weight-only presentation.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Layer panel</w:t>
      </w:r>
      <w:r>
        <w:t xml:space="preserve"> </w:t>
      </w:r>
      <w:r>
        <w:t xml:space="preserve">— each class layer has a colour swatch matching the table in §2;</w:t>
      </w:r>
      <w:r>
        <w:t xml:space="preserve"> </w:t>
      </w:r>
      <w:r>
        <w:t xml:space="preserve">toggle individual classes on/off.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INTERACTIVE_VIEWER_MANUAL.md</w:t>
      </w:r>
      <w:r>
        <w:t xml:space="preserve"> </w:t>
      </w:r>
      <w:r>
        <w:t xml:space="preserve">for full viewer instructions.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2026-06-03T20:02:00Z</dcterms:created>
  <dcterms:modified xsi:type="dcterms:W3CDTF">2026-06-03T20:02:00Z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