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b42d975c362ba275f8563906706a058d17c4b4"/>
    <w:p>
      <w:pPr>
        <w:pStyle w:val="Heading1"/>
      </w:pPr>
      <w:r>
        <w:t xml:space="preserve">Layer Structure Guide — 14-Layer Toggleable Hierarchy</w:t>
      </w:r>
    </w:p>
    <w:p>
      <w:pPr>
        <w:pStyle w:val="FirstParagraph"/>
      </w:pPr>
      <w:r>
        <w:t xml:space="preserve">Every v2 SVG uses a strict bottom-to-top stack of</w:t>
      </w:r>
      <w:r>
        <w:t xml:space="preserve"> </w:t>
      </w:r>
      <w:r>
        <w:rPr>
          <w:bCs/>
          <w:b/>
        </w:rPr>
        <w:t xml:space="preserve">14 Inkscape layers</w:t>
      </w:r>
      <w:r>
        <w:t xml:space="preserve"> </w:t>
      </w:r>
      <w:r>
        <w:t xml:space="preserve">(</w:t>
      </w:r>
      <w:r>
        <w:rPr>
          <w:rStyle w:val="VerbatimChar"/>
        </w:rPr>
        <w:t xml:space="preserve">inkscape:groupmode="layer"</w:t>
      </w:r>
      <w:r>
        <w:t xml:space="preserve">), so each can be toggled independently in</w:t>
      </w:r>
      <w:r>
        <w:t xml:space="preserve"> </w:t>
      </w:r>
      <w:r>
        <w:t xml:space="preserve">Inkscape, Illustrator, or any CAD tool that honours SVG layer groups.</w:t>
      </w:r>
    </w:p>
    <w:p>
      <w:pPr>
        <w:pStyle w:val="BodyText"/>
      </w:pPr>
      <w:r>
        <w:t xml:space="preserve">Layers are emitted in draw order:</w:t>
      </w:r>
      <w:r>
        <w:t xml:space="preserve"> </w:t>
      </w:r>
      <w:r>
        <w:rPr>
          <w:bCs/>
          <w:b/>
        </w:rPr>
        <w:t xml:space="preserve">Layer 0 is drawn first (bottom)</w:t>
      </w:r>
      <w:r>
        <w:t xml:space="preserve">,</w:t>
      </w:r>
      <w:r>
        <w:t xml:space="preserve"> </w:t>
      </w:r>
      <w:r>
        <w:rPr>
          <w:bCs/>
          <w:b/>
        </w:rPr>
        <w:t xml:space="preserve">Layer 13 last (top)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3120"/>
        <w:gridCol w:w="240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fill, outer/inner frame, title block, header strip, version 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Scope-boundary diamonds (TPXYYYY), terminal/handover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the</w:t>
            </w:r>
            <w:r>
              <w:t xml:space="preserve"> </w:t>
            </w:r>
            <w:r>
              <w:t xml:space="preserve">“</w:t>
            </w:r>
            <w:r>
              <w:t xml:space="preserve">last-meter</w:t>
            </w:r>
            <w:r>
              <w:t xml:space="preserve">”</w:t>
            </w:r>
            <w:r>
              <w:t xml:space="preserve"> </w:t>
            </w: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Cavity geometry, outer shell, vacuum vessel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Rendered light grey as background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Vessels, heat exchangers, cavities, couplers, tuners, tanks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equipment glyphs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Piping-40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 thermal-shield 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</w:t>
            </w:r>
            <w:r>
              <w:rPr>
                <w:rStyle w:val="VerbatimChar"/>
              </w:rPr>
              <w:t xml:space="preserve">#e00000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Piping-4.5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K supply 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(</w:t>
            </w:r>
            <w:r>
              <w:rPr>
                <w:rStyle w:val="VerbatimChar"/>
              </w:rPr>
              <w:t xml:space="preserve">#0033cc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Piping-2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 return 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 (</w:t>
            </w:r>
            <w:r>
              <w:rPr>
                <w:rStyle w:val="VerbatimChar"/>
              </w:rPr>
              <w:t xml:space="preserve">#00a6bd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Piping-Water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cooling-water / utility 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(</w:t>
            </w:r>
            <w:r>
              <w:rPr>
                <w:rStyle w:val="VerbatimChar"/>
              </w:rPr>
              <w:t xml:space="preserve">#00a000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valve symbols + 60 K guard / infrastructure / instrument-air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Manual, control, safety, relief, MV bellows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 sensor bubbles (TT, PT, LT, FT,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Field-mounted discrete instruments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 interlock block, tuner limit switches, Lemo connectors, actuators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/ interlock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lines + heat-load callouts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Pneumatic / electric signal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instrument tags, valve tags, buffer &amp; hand-over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legend (classes, symbols, scope keys)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</w:t>
            </w:r>
          </w:p>
        </w:tc>
      </w:tr>
    </w:tbl>
    <w:bookmarkStart w:id="20" w:name="emphasis-behaviour-by-sheet-type"/>
    <w:p>
      <w:pPr>
        <w:pStyle w:val="Heading2"/>
      </w:pPr>
      <w:r>
        <w:t xml:space="preserve">Emphasis behaviour by sheet type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 / Cryogenic sheets (Sheet 1):</w:t>
      </w:r>
      <w:r>
        <w:t xml:space="preserve"> </w:t>
      </w:r>
      <w:r>
        <w:t xml:space="preserve">piping layers 4-7 are drawn at full</w:t>
      </w:r>
      <w:r>
        <w:t xml:space="preserve"> </w:t>
      </w:r>
      <w:r>
        <w:t xml:space="preserve">weight &amp; colour; only inline process devices (FT/PT/LT) appear on the</w:t>
      </w:r>
      <w:r>
        <w:t xml:space="preserve"> </w:t>
      </w:r>
      <w:r>
        <w:t xml:space="preserve">instrument layer. Control layer (DIS etc.) is empty.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Instrumentation sheets (Sheet 2):</w:t>
      </w:r>
      <w:r>
        <w:t xml:space="preserve"> </w:t>
      </w:r>
      <w:r>
        <w:t xml:space="preserve">piping layers 4-8 are drawn as a faded</w:t>
      </w:r>
      <w:r>
        <w:t xml:space="preserve"> </w:t>
      </w:r>
      <w:r>
        <w:t xml:space="preserve">grey backdrop so the full sensor suite, control layer, and signals stand out.</w:t>
      </w:r>
    </w:p>
    <w:bookmarkEnd w:id="20"/>
    <w:bookmarkStart w:id="21" w:name="style-version-interaction"/>
    <w:p>
      <w:pPr>
        <w:pStyle w:val="Heading2"/>
      </w:pPr>
      <w:r>
        <w:t xml:space="preserve">Style-version interaction</w:t>
      </w:r>
    </w:p>
    <w:p>
      <w:pPr>
        <w:pStyle w:val="FirstParagraph"/>
      </w:pPr>
      <w:r>
        <w:t xml:space="preserve">The two style versions modify</w:t>
      </w:r>
      <w:r>
        <w:t xml:space="preserve"> </w:t>
      </w:r>
      <w:r>
        <w:rPr>
          <w:iCs/>
          <w:i/>
        </w:rPr>
        <w:t xml:space="preserve">rendering weights/colours within</w:t>
      </w:r>
      <w:r>
        <w:t xml:space="preserve"> </w:t>
      </w:r>
      <w:r>
        <w:t xml:space="preserve">these layers</w:t>
      </w:r>
      <w:r>
        <w:t xml:space="preserve"> </w:t>
      </w:r>
      <w:r>
        <w:t xml:space="preserve">(see Drawing Index §2) but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 the layer structure — the 14-layer</w:t>
      </w:r>
      <w:r>
        <w:t xml:space="preserve"> </w:t>
      </w:r>
      <w:r>
        <w:t xml:space="preserve">hierarchy is identical across both</w:t>
      </w:r>
      <w:r>
        <w:t xml:space="preserve"> </w:t>
      </w:r>
      <w:r>
        <w:rPr>
          <w:rStyle w:val="VerbatimChar"/>
        </w:rPr>
        <w:t xml:space="preserve">_STANDARD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_CONTROL-CENTRIC</w:t>
      </w:r>
      <w:r>
        <w:t xml:space="preserve"> </w:t>
      </w:r>
      <w:r>
        <w:t xml:space="preserve">files.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2026-06-03T16:29:13Z</dcterms:created>
  <dcterms:modified xsi:type="dcterms:W3CDTF">2026-06-03T16:29:13Z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