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9ea7863dca499ce82de393ec134e5a1b211708"/>
    <w:p>
      <w:pPr>
        <w:pStyle w:val="Heading1"/>
      </w:pPr>
      <w:r>
        <w:t xml:space="preserve">MINERVA CryoCell P&amp;ID v3 — Layer Naming Standard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 (MYRRHA / MINERVA Phase 1)</w:t>
      </w:r>
      <w:r>
        <w:t xml:space="preserve"> </w:t>
      </w:r>
      <w:r>
        <w:rPr>
          <w:bCs/>
          <w:b/>
        </w:rPr>
        <w:t xml:space="preserve">Standards:</w:t>
      </w:r>
      <w:r>
        <w:t xml:space="preserve"> </w:t>
      </w:r>
      <w:r>
        <w:t xml:space="preserve">ANSI/ISA-5.1-2022 · ISO 10628 · IEC 60617 · SCK CEN</w:t>
      </w:r>
      <w:r>
        <w:t xml:space="preserve"> </w:t>
      </w:r>
      <w:r>
        <w:rPr>
          <w:bCs/>
          <w:b/>
        </w:rPr>
        <w:t xml:space="preserve">AD_01.16</w:t>
      </w:r>
    </w:p>
    <w:p>
      <w:pPr>
        <w:pStyle w:val="BodyText"/>
      </w:pPr>
      <w:r>
        <w:t xml:space="preserve">Every v3 SVG uses the same ordered, hierarchical, self-describing Inkscape</w:t>
      </w:r>
      <w:r>
        <w:t xml:space="preserve"> </w:t>
      </w:r>
      <w:r>
        <w:t xml:space="preserve">layer set. Layers are named</w:t>
      </w:r>
      <w:r>
        <w:t xml:space="preserve"> </w:t>
      </w:r>
      <w:r>
        <w:rPr>
          <w:rStyle w:val="VerbatimChar"/>
        </w:rPr>
        <w:t xml:space="preserve">NN[_Sub]_Category_Detail</w:t>
      </w:r>
      <w:r>
        <w:t xml:space="preserve"> </w:t>
      </w:r>
      <w:r>
        <w:t xml:space="preserve">so they sort correctly</w:t>
      </w:r>
      <w:r>
        <w:t xml:space="preserve"> </w:t>
      </w:r>
      <w:r>
        <w:t xml:space="preserve">and read unambiguously in Inkscape, Illustrator and any SVG editor. Drawing</w:t>
      </w:r>
      <w:r>
        <w:t xml:space="preserve"> </w:t>
      </w:r>
      <w:r>
        <w:t xml:space="preserve">order is bottom (background) to top (annotations).</w:t>
      </w:r>
    </w:p>
    <w:bookmarkStart w:id="20" w:name="layer-table"/>
    <w:p>
      <w:pPr>
        <w:pStyle w:val="Heading3"/>
      </w:pPr>
      <w:r>
        <w:t xml:space="preserve">Layer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793"/>
        <w:gridCol w:w="1344"/>
        <w:gridCol w:w="2390"/>
        <w:gridCol w:w="1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00_Background_TitleBlock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frame, header strip, compact bottom title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0.7–2.0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01_Scope_Boundaries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AD_01.16 termination-point (TP) scope 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Faded reference geometry from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03_Equipment_Vessels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Cavities, couplers, HX, vessels, tuners, antennae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/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04A_Piping_PRIMARY_40K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shield</w:t>
            </w:r>
            <w:r>
              <w:t xml:space="preserve"> </w:t>
            </w:r>
            <w:r>
              <w:rPr>
                <w:bCs/>
                <w:b/>
              </w:rPr>
              <w:t xml:space="preserve">trunk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#e00000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04B_Piping_BRANCHES_40K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shield</w:t>
            </w:r>
            <w:r>
              <w:t xml:space="preserve"> </w:t>
            </w:r>
            <w:r>
              <w:rPr>
                <w:bCs/>
                <w:b/>
              </w:rPr>
              <w:t xml:space="preserve">branch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#e00000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05A_Piping_PRIMARY_4p5K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supply</w:t>
            </w:r>
            <w:r>
              <w:t xml:space="preserve"> </w:t>
            </w:r>
            <w:r>
              <w:rPr>
                <w:bCs/>
                <w:b/>
              </w:rPr>
              <w:t xml:space="preserve">trunk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#0033cc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05B_Piping_BRANCHES_4p5K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supply</w:t>
            </w:r>
            <w:r>
              <w:t xml:space="preserve"> </w:t>
            </w:r>
            <w:r>
              <w:rPr>
                <w:bCs/>
                <w:b/>
              </w:rPr>
              <w:t xml:space="preserve">branch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#0033cc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06A_Piping_PRIMARY_2K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return</w:t>
            </w:r>
            <w:r>
              <w:t xml:space="preserve"> </w:t>
            </w:r>
            <w:r>
              <w:rPr>
                <w:bCs/>
                <w:b/>
              </w:rPr>
              <w:t xml:space="preserve">trunk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  <w:r>
              <w:t xml:space="preserve"> </w:t>
            </w:r>
            <w:r>
              <w:rPr>
                <w:rStyle w:val="VerbatimChar"/>
              </w:rPr>
              <w:t xml:space="preserve">#00a6bd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06B_Piping_BRANCHES_2K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return</w:t>
            </w:r>
            <w:r>
              <w:t xml:space="preserve"> </w:t>
            </w:r>
            <w:r>
              <w:rPr>
                <w:bCs/>
                <w:b/>
              </w:rPr>
              <w:t xml:space="preserve">branch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  <w:r>
              <w:t xml:space="preserve"> </w:t>
            </w:r>
            <w:r>
              <w:rPr>
                <w:rStyle w:val="VerbatimChar"/>
              </w:rPr>
              <w:t xml:space="preserve">#00a6bd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07_Piping_SECONDARY_Water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cooling-water secondary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#00a000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08_Piping_OUTSIDE_SCOPE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guard / infrastructure / instrument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dashed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09_Valves_Mechanical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CV/HV/SV/RV/MV/PL valves + bellows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10_Signals_Pneumatic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instrument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  <w:r>
              <w:t xml:space="preserve"> </w:t>
            </w:r>
            <w:r>
              <w:rPr>
                <w:rStyle w:val="VerbatimChar"/>
              </w:rPr>
              <w:t xml:space="preserve">#7a00a0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11_Signals_Electric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instrument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#00529b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12_Signals_Hydraulic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 instrument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#a06a00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13_Instruments_Sensors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instrument bubbles + heat-load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14_Instruments_Control_DIS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 interlock, tuner limit switches, Lemo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/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0.3–1.6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15_Tags_Instruments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16_Legend_TOGGLEABLE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legend overlay (</w:t>
            </w:r>
            <w:r>
              <w:rPr>
                <w:bCs/>
                <w:b/>
              </w:rPr>
              <w:t xml:space="preserve">off by default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17_Notes_TOGGLEABLE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Buffer/scope notes and callouts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/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piping-hierarchy-primary-vs-branch"/>
    <w:p>
      <w:pPr>
        <w:pStyle w:val="Heading3"/>
      </w:pPr>
      <w:r>
        <w:t xml:space="preserve">Piping hierarchy — PRIMARY vs BRANCH</w:t>
      </w:r>
    </w:p>
    <w:p>
      <w:pPr>
        <w:pStyle w:val="FirstParagraph"/>
      </w:pPr>
      <w:r>
        <w:t xml:space="preserve">Within each cryogenic class (40 K, 4.5 K, 2 K) the source geometry is split into</w:t>
      </w:r>
      <w:r>
        <w:t xml:space="preserve"> </w:t>
      </w:r>
      <w:r>
        <w:t xml:space="preserve">two sub-layers: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…A</w:t>
      </w:r>
      <w:r>
        <w:t xml:space="preserve">) — the trunk/header runs, drawn at</w:t>
      </w:r>
      <w:r>
        <w:t xml:space="preserve"> </w:t>
      </w:r>
      <w:r>
        <w:rPr>
          <w:bCs/>
          <w:b/>
        </w:rPr>
        <w:t xml:space="preserve">1.0 mm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…B</w:t>
      </w:r>
      <w:r>
        <w:t xml:space="preserve">) — the take-offs and short connections, drawn at</w:t>
      </w:r>
      <w:r>
        <w:t xml:space="preserve"> </w:t>
      </w:r>
      <w:r>
        <w:rPr>
          <w:bCs/>
          <w:b/>
        </w:rPr>
        <w:t xml:space="preserve">0.7 mm</w:t>
      </w:r>
      <w:r>
        <w:t xml:space="preserve">.</w:t>
      </w:r>
    </w:p>
    <w:p>
      <w:pPr>
        <w:pStyle w:val="FirstParagraph"/>
      </w:pPr>
      <w:r>
        <w:t xml:space="preserve">The classifier ranks every line segment by its on-sheet length (CTM-resolved).</w:t>
      </w:r>
      <w:r>
        <w:t xml:space="preserve"> </w:t>
      </w:r>
      <w:r>
        <w:t xml:space="preserve">Segments at or above the 55th percentile of their class become PRIMARY; the rest</w:t>
      </w:r>
      <w:r>
        <w:t xml:space="preserve"> </w:t>
      </w:r>
      <w:r>
        <w:t xml:space="preserve">become BRANCH. Junction nodes and coloured fills travel with the PRIMARY layer.</w:t>
      </w:r>
      <w:r>
        <w:t xml:space="preserve"> </w:t>
      </w:r>
      <w:r>
        <w:t xml:space="preserve">Secondary (DI water) is a single 0.5 mm layer; out-of-scope services are a single</w:t>
      </w:r>
      <w:r>
        <w:t xml:space="preserve"> </w:t>
      </w:r>
      <w:r>
        <w:t xml:space="preserve">0.35 mm grey</w:t>
      </w:r>
      <w:r>
        <w:t xml:space="preserve"> </w:t>
      </w:r>
      <w:r>
        <w:rPr>
          <w:bCs/>
          <w:b/>
        </w:rPr>
        <w:t xml:space="preserve">dashed</w:t>
      </w:r>
      <w:r>
        <w:t xml:space="preserve"> </w:t>
      </w:r>
      <w:r>
        <w:t xml:space="preserve">layer.</w:t>
      </w:r>
    </w:p>
    <w:bookmarkEnd w:id="21"/>
    <w:bookmarkStart w:id="22" w:name="signal-line-differentiation-all-0.25-mm"/>
    <w:p>
      <w:pPr>
        <w:pStyle w:val="Heading3"/>
      </w:pPr>
      <w:r>
        <w:t xml:space="preserve">Signal-line differentiation (all 0.25 mm)</w:t>
      </w:r>
    </w:p>
    <w:p>
      <w:pPr>
        <w:pStyle w:val="FirstParagraph"/>
      </w:pPr>
      <w:r>
        <w:t xml:space="preserve">To stay legible on monochrome plots each signal type uses a distinct dash</w:t>
      </w:r>
      <w:r>
        <w:t xml:space="preserve"> </w:t>
      </w:r>
      <w:r>
        <w:t xml:space="preserve">pattern, following the intent of AD_01.16 Sheet 1/9: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dash</w:t>
            </w:r>
            <w:r>
              <w:t xml:space="preserve"> </w:t>
            </w:r>
            <w:r>
              <w:rPr>
                <w:bCs/>
                <w:b/>
              </w:rPr>
              <w:t xml:space="preserve">+ // cross-tick</w:t>
            </w:r>
            <w:r>
              <w:t xml:space="preserve"> </w:t>
            </w:r>
            <w:r>
              <w:t xml:space="preserve">hatch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  <w:r>
              <w:t xml:space="preserve"> </w:t>
            </w:r>
            <w:r>
              <w:rPr>
                <w:bCs/>
                <w:b/>
              </w:rPr>
              <w:t xml:space="preserve">dotted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dash-dot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AD_01.16 vs the brief.</w:t>
      </w:r>
      <w:r>
        <w:t xml:space="preserve"> </w:t>
      </w:r>
      <w:r>
        <w:t xml:space="preserve">AD_01.16 represents</w:t>
      </w:r>
      <w:r>
        <w:t xml:space="preserve"> </w:t>
      </w:r>
      <w:r>
        <w:rPr>
          <w:iCs/>
          <w:i/>
        </w:rPr>
        <w:t xml:space="preserve">electrical</w:t>
      </w:r>
      <w:r>
        <w:t xml:space="preserve"> </w:t>
      </w:r>
      <w:r>
        <w:t xml:space="preserve">as dashed,</w:t>
      </w:r>
      <w:r>
        <w:t xml:space="preserve"> </w:t>
      </w:r>
      <w:r>
        <w:rPr>
          <w:iCs/>
          <w:i/>
        </w:rPr>
        <w:t xml:space="preserve">pneumatic</w:t>
      </w:r>
      <w:r>
        <w:t xml:space="preserve"> </w:t>
      </w:r>
      <w:r>
        <w:t xml:space="preserve">with cross-ticks and</w:t>
      </w:r>
      <w:r>
        <w:t xml:space="preserve"> </w:t>
      </w:r>
      <w:r>
        <w:rPr>
          <w:iCs/>
          <w:i/>
        </w:rPr>
        <w:t xml:space="preserve">hydraulic</w:t>
      </w:r>
      <w:r>
        <w:t xml:space="preserve"> </w:t>
      </w:r>
      <w:r>
        <w:t xml:space="preserve">with an</w:t>
      </w:r>
      <w:r>
        <w:t xml:space="preserve"> </w:t>
      </w:r>
      <w:r>
        <w:t xml:space="preserve">“</w:t>
      </w:r>
      <w:r>
        <w:t xml:space="preserve">L</w:t>
      </w:r>
      <w:r>
        <w:t xml:space="preserve">”</w:t>
      </w:r>
      <w:r>
        <w:t xml:space="preserve"> </w:t>
      </w:r>
      <w:r>
        <w:t xml:space="preserve">mark. The brief asked</w:t>
      </w:r>
      <w:r>
        <w:t xml:space="preserve"> </w:t>
      </w:r>
      <w:r>
        <w:t xml:space="preserve">for pneumatic = dashed, electric = dotted, hydraulic = dash-dot. v3 keeps all</w:t>
      </w:r>
      <w:r>
        <w:t xml:space="preserve"> </w:t>
      </w:r>
      <w:r>
        <w:t xml:space="preserve">three</w:t>
      </w:r>
      <w:r>
        <w:t xml:space="preserve"> </w:t>
      </w:r>
      <w:r>
        <w:rPr>
          <w:bCs/>
          <w:b/>
        </w:rPr>
        <w:t xml:space="preserve">visually distinct</w:t>
      </w:r>
      <w:r>
        <w:t xml:space="preserve"> </w:t>
      </w:r>
      <w:r>
        <w:t xml:space="preserve">and leans on the AD_01.16 cross-tick for pneumatic</w:t>
      </w:r>
      <w:r>
        <w:t xml:space="preserve"> </w:t>
      </w:r>
      <w:r>
        <w:t xml:space="preserve">while using dotted for electric (clearest on A3). The mapping is recorded here</w:t>
      </w:r>
      <w:r>
        <w:t xml:space="preserve"> </w:t>
      </w:r>
      <w:r>
        <w:t xml:space="preserve">and in the on-sheet legend so there is no ambiguity.</w:t>
      </w:r>
    </w:p>
    <w:bookmarkEnd w:id="22"/>
    <w:bookmarkStart w:id="23" w:name="monochrome-_mono-variants"/>
    <w:p>
      <w:pPr>
        <w:pStyle w:val="Heading3"/>
      </w:pPr>
      <w:r>
        <w:t xml:space="preserve">Monochrome (</w:t>
      </w:r>
      <w:r>
        <w:rPr>
          <w:rStyle w:val="VerbatimChar"/>
        </w:rPr>
        <w:t xml:space="preserve">_MONO</w:t>
      </w:r>
      <w:r>
        <w:t xml:space="preserve">) variants</w:t>
      </w:r>
    </w:p>
    <w:p>
      <w:pPr>
        <w:pStyle w:val="FirstParagraph"/>
      </w:pPr>
      <w:r>
        <w:t xml:space="preserve">Each sheet is also issued as a pure black-and-white</w:t>
      </w:r>
      <w:r>
        <w:t xml:space="preserve"> </w:t>
      </w:r>
      <w:r>
        <w:rPr>
          <w:rStyle w:val="VerbatimChar"/>
        </w:rPr>
        <w:t xml:space="preserve">_MONO</w:t>
      </w:r>
      <w:r>
        <w:t xml:space="preserve"> </w:t>
      </w:r>
      <w:r>
        <w:t xml:space="preserve">SVG/PDF:</w:t>
      </w:r>
    </w:p>
    <w:p>
      <w:pPr>
        <w:numPr>
          <w:ilvl w:val="0"/>
          <w:numId w:val="1002"/>
        </w:numPr>
        <w:pStyle w:val="Compact"/>
      </w:pPr>
      <w:r>
        <w:t xml:space="preserve">all piping is</w:t>
      </w:r>
      <w:r>
        <w:t xml:space="preserve"> </w:t>
      </w:r>
      <w:r>
        <w:rPr>
          <w:bCs/>
          <w:b/>
        </w:rPr>
        <w:t xml:space="preserve">black</w:t>
      </w:r>
      <w:r>
        <w:t xml:space="preserve">, differentiated only by the weight hierarchy above;</w:t>
      </w:r>
    </w:p>
    <w:p>
      <w:pPr>
        <w:numPr>
          <w:ilvl w:val="0"/>
          <w:numId w:val="1002"/>
        </w:numPr>
        <w:pStyle w:val="Compact"/>
      </w:pPr>
      <w:r>
        <w:t xml:space="preserve">out-of-scope services stay</w:t>
      </w:r>
      <w:r>
        <w:t xml:space="preserve"> </w:t>
      </w:r>
      <w:r>
        <w:rPr>
          <w:bCs/>
          <w:b/>
        </w:rPr>
        <w:t xml:space="preserve">dashed</w:t>
      </w:r>
      <w:r>
        <w:t xml:space="preserve">; signals keep their dash patterns;</w:t>
      </w:r>
    </w:p>
    <w:p>
      <w:pPr>
        <w:numPr>
          <w:ilvl w:val="0"/>
          <w:numId w:val="1002"/>
        </w:numPr>
        <w:pStyle w:val="Compact"/>
      </w:pPr>
      <w:r>
        <w:t xml:space="preserve">instrument bubbles are</w:t>
      </w:r>
      <w:r>
        <w:t xml:space="preserve"> </w:t>
      </w:r>
      <w:r>
        <w:rPr>
          <w:bCs/>
          <w:b/>
        </w:rPr>
        <w:t xml:space="preserve">white-filled with black outline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arrowhead / junction markers are recoloured to black.</w:t>
      </w:r>
    </w:p>
    <w:bookmarkEnd w:id="23"/>
    <w:bookmarkStart w:id="24" w:name="scope-categories-ad_01.16"/>
    <w:p>
      <w:pPr>
        <w:pStyle w:val="Heading3"/>
      </w:pPr>
      <w:r>
        <w:t xml:space="preserve">Scope categories (AD_01.16)</w:t>
      </w:r>
    </w:p>
    <w:p>
      <w:pPr>
        <w:pStyle w:val="FirstParagraph"/>
      </w:pPr>
      <w:r>
        <w:t xml:space="preserve">Termination-point diamonds carry three compartments: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&lt;letter&gt;&lt;number&gt;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&lt;next system&gt;</w:t>
      </w:r>
      <w:r>
        <w:t xml:space="preserve">. Category letters:</w:t>
      </w:r>
    </w:p>
    <w:p>
      <w:pPr>
        <w:pStyle w:val="BodyText"/>
      </w:pPr>
      <w:r>
        <w:rPr>
          <w:rStyle w:val="VerbatimChar"/>
        </w:rPr>
        <w:t xml:space="preserve">B</w:t>
      </w:r>
      <w:r>
        <w:t xml:space="preserve"> </w:t>
      </w:r>
      <w:r>
        <w:t xml:space="preserve">= Building ·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Civil ·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Electrical ·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= Compressed gasses ·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= HVAC ·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= Liquid waste ·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Solid waste ·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= Water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2026-06-03T16:55:34Z</dcterms:created>
  <dcterms:modified xsi:type="dcterms:W3CDTF">2026-06-03T16:55:34Z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