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a48d4067a688e20d5964d0560e7572f3c13b79"/>
    <w:p>
      <w:pPr>
        <w:pStyle w:val="Heading1"/>
      </w:pPr>
      <w:r>
        <w:t xml:space="preserve">W003 + W004 Combined Build Report — Layer Hierarchy &amp; Geometric Tracing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/ QCELL &amp; RFCELL P&amp;ID — colour-line-first model</w:t>
      </w:r>
      <w:r>
        <w:t xml:space="preserve"> </w:t>
      </w:r>
      <w:r>
        <w:rPr>
          <w:bCs/>
          <w:b/>
        </w:rPr>
        <w:t xml:space="preserve">Programme:</w:t>
      </w:r>
      <w:r>
        <w:t xml:space="preserve"> </w:t>
      </w:r>
      <w:r>
        <w:t xml:space="preserve">Mott MacDonald / SCK CEN / MYRRHA-MINERVA Phase 1</w:t>
      </w:r>
      <w:r>
        <w:t xml:space="preserve"> </w:t>
      </w:r>
      <w:r>
        <w:rPr>
          <w:bCs/>
          <w:b/>
        </w:rPr>
        <w:t xml:space="preserve">Waves:</w:t>
      </w:r>
      <w:r>
        <w:t xml:space="preserve"> </w:t>
      </w:r>
      <w:r>
        <w:t xml:space="preserve">W003 (Layer Hierarchy) + W004 (Geometric Tracing) — combined 10-phase build</w:t>
      </w:r>
      <w:r>
        <w:t xml:space="preserve"> </w:t>
      </w:r>
      <w:r>
        <w:rPr>
          <w:bCs/>
          <w:b/>
        </w:rPr>
        <w:t xml:space="preserve">Baseline:</w:t>
      </w:r>
      <w:r>
        <w:t xml:space="preserve"> </w:t>
      </w:r>
      <w:r>
        <w:t xml:space="preserve">W002 (</w:t>
      </w:r>
      <w:r>
        <w:rPr>
          <w:rStyle w:val="VerbatimChar"/>
        </w:rPr>
        <w:t xml:space="preserve">5d43a9e</w:t>
      </w:r>
      <w:r>
        <w:t xml:space="preserve">)</w:t>
      </w:r>
      <w:r>
        <w:t xml:space="preserve"> </w:t>
      </w:r>
      <w:r>
        <w:rPr>
          <w:bCs/>
          <w:b/>
        </w:rPr>
        <w:t xml:space="preserve">Toolchain:</w:t>
      </w:r>
      <w:r>
        <w:t xml:space="preserve"> </w:t>
      </w:r>
      <w:r>
        <w:t xml:space="preserve">Python standard library +</w:t>
      </w:r>
      <w:r>
        <w:t xml:space="preserve"> </w:t>
      </w:r>
      <w:r>
        <w:rPr>
          <w:rStyle w:val="VerbatimChar"/>
        </w:rPr>
        <w:t xml:space="preserve">cairosvg</w:t>
      </w:r>
      <w:r>
        <w:t xml:space="preserve"> </w:t>
      </w:r>
      <w:r>
        <w:t xml:space="preserve">(PDF render) +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(Excel)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build extends the W002 colour-line decomposition with a full hierarchy of</w:t>
      </w:r>
      <w:r>
        <w:t xml:space="preserve"> </w:t>
      </w:r>
      <w:r>
        <w:rPr>
          <w:bCs/>
          <w:b/>
        </w:rPr>
        <w:t xml:space="preserve">13 top-level layers (21 named sub-layers)</w:t>
      </w:r>
      <w:r>
        <w:t xml:space="preserve"> </w:t>
      </w:r>
      <w:r>
        <w:t xml:space="preserve">and a geometric flow-tracing pass.</w:t>
      </w:r>
      <w:r>
        <w:t xml:space="preserve"> </w:t>
      </w:r>
      <w:r>
        <w:t xml:space="preserve">Headline outcomes:</w:t>
      </w:r>
    </w:p>
    <w:p>
      <w:pPr>
        <w:numPr>
          <w:ilvl w:val="0"/>
          <w:numId w:val="1001"/>
        </w:numPr>
        <w:pStyle w:val="Compact"/>
      </w:pPr>
      <w:r>
        <w:t xml:space="preserve">Unmapped elements reduced</w:t>
      </w:r>
      <w:r>
        <w:t xml:space="preserve"> </w:t>
      </w:r>
      <w:r>
        <w:rPr>
          <w:bCs/>
          <w:b/>
        </w:rPr>
        <w:t xml:space="preserve">982 → 112</w:t>
      </w:r>
      <w:r>
        <w:t xml:space="preserve"> </w:t>
      </w:r>
      <w:r>
        <w:t xml:space="preserve">(88.6 % resolved).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13 top-level layers (21 named sub-layers)</w:t>
      </w:r>
      <w:r>
        <w:t xml:space="preserve"> </w:t>
      </w:r>
      <w:r>
        <w:t xml:space="preserve">assigned; QCELL annotated</w:t>
      </w:r>
      <w:r>
        <w:t xml:space="preserve"> </w:t>
      </w:r>
      <w:r>
        <w:rPr>
          <w:bCs/>
          <w:b/>
        </w:rPr>
        <w:t xml:space="preserve">1834</w:t>
      </w:r>
      <w:r>
        <w:t xml:space="preserve"> </w:t>
      </w:r>
      <w:r>
        <w:t xml:space="preserve">elements (14 sub-layers used), RFCELL</w:t>
      </w:r>
      <w:r>
        <w:t xml:space="preserve"> </w:t>
      </w:r>
      <w:r>
        <w:rPr>
          <w:bCs/>
          <w:b/>
        </w:rPr>
        <w:t xml:space="preserve">591</w:t>
      </w:r>
      <w:r>
        <w:t xml:space="preserve"> </w:t>
      </w:r>
      <w:r>
        <w:t xml:space="preserve">(12 sub-layers).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132</w:t>
      </w:r>
      <w:r>
        <w:t xml:space="preserve"> </w:t>
      </w:r>
      <w:r>
        <w:t xml:space="preserve">flow arrows traced,</w:t>
      </w:r>
      <w:r>
        <w:t xml:space="preserve"> </w:t>
      </w:r>
      <w:r>
        <w:rPr>
          <w:bCs/>
          <w:b/>
        </w:rPr>
        <w:t xml:space="preserve">77</w:t>
      </w:r>
      <w:r>
        <w:t xml:space="preserve"> </w:t>
      </w:r>
      <w:r>
        <w:t xml:space="preserve">floating arrows isolated,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junctions.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297</w:t>
      </w:r>
      <w:r>
        <w:t xml:space="preserve"> </w:t>
      </w:r>
      <w:r>
        <w:t xml:space="preserve">components cataloged to Excel + HTML.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22</w:t>
      </w:r>
      <w:r>
        <w:t xml:space="preserve"> </w:t>
      </w:r>
      <w:r>
        <w:t xml:space="preserve">handover diamonds and</w:t>
      </w:r>
      <w:r>
        <w:t xml:space="preserve"> </w:t>
      </w:r>
      <w:r>
        <w:rPr>
          <w:bCs/>
          <w:b/>
        </w:rPr>
        <w:t xml:space="preserve">5/5</w:t>
      </w:r>
      <w:r>
        <w:t xml:space="preserve"> </w:t>
      </w:r>
      <w:r>
        <w:t xml:space="preserve">scope boundaries validated.</w:t>
      </w:r>
    </w:p>
    <w:p>
      <w:pPr>
        <w:numPr>
          <w:ilvl w:val="0"/>
          <w:numId w:val="1001"/>
        </w:numPr>
        <w:pStyle w:val="Compact"/>
      </w:pPr>
      <w:r>
        <w:t xml:space="preserve">PEMO SSOT emitted as YAML 1.2 with</w:t>
      </w:r>
      <w:r>
        <w:t xml:space="preserve"> </w:t>
      </w:r>
      <w:r>
        <w:rPr>
          <w:bCs/>
          <w:b/>
        </w:rPr>
        <w:t xml:space="preserve">122</w:t>
      </w:r>
      <w:r>
        <w:t xml:space="preserve"> </w:t>
      </w:r>
      <w:r>
        <w:t xml:space="preserve">control loops and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heat loads.</w:t>
      </w:r>
    </w:p>
    <w:p>
      <w:pPr>
        <w:pStyle w:val="FirstParagraph"/>
      </w:pPr>
      <w:r>
        <w:t xml:space="preserve">The build follows</w:t>
      </w:r>
      <w:r>
        <w:t xml:space="preserve"> </w:t>
      </w:r>
      <w:r>
        <w:t xml:space="preserve">“</w:t>
      </w:r>
      <w:r>
        <w:t xml:space="preserve">Claim ≠ Complete</w:t>
      </w:r>
      <w:r>
        <w:t xml:space="preserve">”</w:t>
      </w:r>
      <w:r>
        <w:t xml:space="preserve"> </w:t>
      </w:r>
      <w:r>
        <w:t xml:space="preserve">discipline: every number below is a real runtime</w:t>
      </w:r>
      <w:r>
        <w:t xml:space="preserve"> </w:t>
      </w:r>
      <w:r>
        <w:t xml:space="preserve">count from the engines. Items that cannot yet be computed are marked</w:t>
      </w:r>
      <w:r>
        <w:t xml:space="preserve"> </w:t>
      </w:r>
      <w:r>
        <w:rPr>
          <w:bCs/>
          <w:b/>
        </w:rPr>
        <w:t xml:space="preserve">DEFERRED</w:t>
      </w:r>
      <w:r>
        <w:t xml:space="preserve"> </w:t>
      </w:r>
      <w:r>
        <w:t xml:space="preserve">and</w:t>
      </w:r>
      <w:r>
        <w:t xml:space="preserve"> </w:t>
      </w:r>
      <w:r>
        <w:t xml:space="preserve">tracked in</w:t>
      </w:r>
      <w:r>
        <w:t xml:space="preserve"> </w:t>
      </w:r>
      <w:r>
        <w:rPr>
          <w:rStyle w:val="VerbatimChar"/>
        </w:rPr>
        <w:t xml:space="preserve">docs/TODO.md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docs/CAPABILITY_MATRIX.md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legend-based-unmapped-reduction"/>
    <w:p>
      <w:pPr>
        <w:pStyle w:val="Heading2"/>
      </w:pPr>
      <w:r>
        <w:t xml:space="preserve">Phase 1 — Legend-based unmapped reduction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Unmapped 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Reclassified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unresolved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 (UNRESOLVED_OTHER_COLOUR / magenta family)</w:t>
            </w:r>
          </w:p>
        </w:tc>
      </w:tr>
    </w:tbl>
    <w:p>
      <w:pPr>
        <w:pStyle w:val="BodyText"/>
      </w:pPr>
      <w:r>
        <w:t xml:space="preserve">Top categories: symbol/heatload markers 236, leader/signal lines 211, uncoloured</w:t>
      </w:r>
      <w:r>
        <w:t xml:space="preserve"> </w:t>
      </w:r>
      <w:r>
        <w:t xml:space="preserve">spec-dots 153, instrument bubbles 146, structure paths 57, flow arrows 40, boundary/</w:t>
      </w:r>
      <w:r>
        <w:t xml:space="preserve"> </w:t>
      </w:r>
      <w:r>
        <w:t xml:space="preserve">titleblock 27. Detail →</w:t>
      </w:r>
      <w:r>
        <w:t xml:space="preserve"> </w:t>
      </w:r>
      <w:r>
        <w:rPr>
          <w:rStyle w:val="VerbatimChar"/>
        </w:rPr>
        <w:t xml:space="preserve">reports/unmapped_reduction_analysis.md</w:t>
      </w:r>
      <w:r>
        <w:t xml:space="preserve">.</w:t>
      </w:r>
    </w:p>
    <w:bookmarkEnd w:id="21"/>
    <w:bookmarkStart w:id="22" w:name="phase-2-element-pairing-engine"/>
    <w:p>
      <w:pPr>
        <w:pStyle w:val="Heading2"/>
      </w:pPr>
      <w:r>
        <w:t xml:space="preserve">Phase 2 — Element pairing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→ component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colour-classified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Dots paired to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Heat-load triangles 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Arrows paired to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Arrows floating (unpaired)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</w:tbl>
    <w:p>
      <w:pPr>
        <w:pStyle w:val="BodyText"/>
      </w:pPr>
      <w:r>
        <w:rPr>
          <w:bCs/>
          <w:b/>
        </w:rPr>
        <w:t xml:space="preserve">Pairing-distance quality (752 paired elements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distance_px</w:t>
      </w:r>
      <w:r>
        <w:rPr>
          <w:bCs/>
          <w:b/>
        </w:rPr>
        <w:t xml:space="preserve">):</w:t>
      </w:r>
      <w:r>
        <w:t xml:space="preserve"> </w:t>
      </w:r>
      <w:r>
        <w:t xml:space="preserve">median</w:t>
      </w:r>
      <w:r>
        <w:t xml:space="preserve"> </w:t>
      </w:r>
      <w:r>
        <w:rPr>
          <w:bCs/>
          <w:b/>
        </w:rPr>
        <w:t xml:space="preserve">25.35 px</w:t>
      </w:r>
      <w:r>
        <w:t xml:space="preserve">, p90</w:t>
      </w:r>
      <w:r>
        <w:t xml:space="preserve"> </w:t>
      </w:r>
      <w:r>
        <w:rPr>
          <w:bCs/>
          <w:b/>
        </w:rPr>
        <w:t xml:space="preserve">355.4 px</w:t>
      </w:r>
      <w:r>
        <w:t xml:space="preserve">, max</w:t>
      </w:r>
      <w:r>
        <w:t xml:space="preserve"> </w:t>
      </w:r>
      <w:r>
        <w:rPr>
          <w:bCs/>
          <w:b/>
        </w:rPr>
        <w:t xml:space="preserve">1040.2 px</w:t>
      </w:r>
      <w:r>
        <w:t xml:space="preserve">. On a 1527 px-wide canvas a</w:t>
      </w:r>
      <w:r>
        <w:t xml:space="preserve"> </w:t>
      </w:r>
      <w:r>
        <w:t xml:space="preserve">1040 px pairing is almost certainly wrong, so pairs above the p90 (~355 px) are</w:t>
      </w:r>
      <w:r>
        <w:t xml:space="preserve"> </w:t>
      </w:r>
      <w:r>
        <w:t xml:space="preserve">flagged</w:t>
      </w:r>
      <w:r>
        <w:t xml:space="preserve"> </w:t>
      </w:r>
      <w:r>
        <w:rPr>
          <w:bCs/>
          <w:b/>
        </w:rPr>
        <w:t xml:space="preserve">LOW-CONFIDENCE</w:t>
      </w:r>
      <w:r>
        <w:t xml:space="preserve"> </w:t>
      </w:r>
      <w:r>
        <w:t xml:space="preserve">and must not be trusted as ground truth; the</w:t>
      </w:r>
      <w:r>
        <w:t xml:space="preserve"> </w:t>
      </w:r>
      <w:r>
        <w:rPr>
          <w:bCs/>
          <w:b/>
        </w:rPr>
        <w:t xml:space="preserve">77</w:t>
      </w:r>
      <w:r>
        <w:t xml:space="preserve"> </w:t>
      </w:r>
      <w:r>
        <w:t xml:space="preserve">floating arrows are left unmatched rather than force-paired (governance: no</w:t>
      </w:r>
      <w:r>
        <w:t xml:space="preserve"> </w:t>
      </w:r>
      <w:r>
        <w:t xml:space="preserve">silent deletion of unresolved data). Tight median (25 px) confirms the bulk of</w:t>
      </w:r>
      <w:r>
        <w:t xml:space="preserve"> </w:t>
      </w:r>
      <w:r>
        <w:t xml:space="preserve">pairings are sound.</w:t>
      </w:r>
    </w:p>
    <w:p>
      <w:pPr>
        <w:pStyle w:val="BodyText"/>
      </w:pPr>
      <w:r>
        <w:t xml:space="preserve">Output →</w:t>
      </w:r>
      <w:r>
        <w:t xml:space="preserve"> </w:t>
      </w:r>
      <w:r>
        <w:rPr>
          <w:rStyle w:val="VerbatimChar"/>
        </w:rPr>
        <w:t xml:space="preserve">data/model/paired_elements.json</w:t>
      </w:r>
      <w:r>
        <w:t xml:space="preserve">.</w:t>
      </w:r>
    </w:p>
    <w:bookmarkEnd w:id="22"/>
    <w:bookmarkStart w:id="23" w:name="phase-3-text-standardization"/>
    <w:p>
      <w:pPr>
        <w:pStyle w:val="Heading2"/>
      </w:pPr>
      <w:r>
        <w:t xml:space="preserve">Phase 3 — Text standardization</w:t>
      </w:r>
    </w:p>
    <w:p>
      <w:pPr>
        <w:pStyle w:val="FirstParagraph"/>
      </w:pPr>
      <w:r>
        <w:t xml:space="preserve">Target font</w:t>
      </w:r>
      <w:r>
        <w:t xml:space="preserve"> </w:t>
      </w:r>
      <w:r>
        <w:rPr>
          <w:rStyle w:val="VerbatimChar"/>
        </w:rPr>
        <w:t xml:space="preserve">Consolas, 'DejaVu Sans Mono', monospace</w:t>
      </w:r>
      <w:r>
        <w:t xml:space="preserve">; 4 mm-based tiers.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major_header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instrument_tag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segment_label_vertical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</w:tr>
    </w:tbl>
    <w:p>
      <w:pPr>
        <w:pStyle w:val="BodyText"/>
      </w:pPr>
      <w:r>
        <w:t xml:space="preserve">533 text nodes total. Detail →</w:t>
      </w:r>
      <w:r>
        <w:t xml:space="preserve"> </w:t>
      </w:r>
      <w:r>
        <w:rPr>
          <w:rStyle w:val="VerbatimChar"/>
        </w:rPr>
        <w:t xml:space="preserve">reports/text_standardization_report.md</w:t>
      </w:r>
      <w:r>
        <w:t xml:space="preserve">.</w:t>
      </w:r>
    </w:p>
    <w:bookmarkEnd w:id="23"/>
    <w:bookmarkStart w:id="24" w:name="Xb7bf20ea22d2fce6abeaf16ae4148eb81b9dd87"/>
    <w:p>
      <w:pPr>
        <w:pStyle w:val="Heading2"/>
      </w:pPr>
      <w:r>
        <w:t xml:space="preserve">Phase 4 — 13 top-level layers (21 named sub-layers)</w:t>
      </w:r>
    </w:p>
    <w:p>
      <w:pPr>
        <w:pStyle w:val="FirstParagraph"/>
      </w:pPr>
      <w:r>
        <w:t xml:space="preserve">Per-layer element counts (assignment model):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02_ScopeBoundaries_Main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04A_Lines_A_BLUE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04B_Lines_B_CYAN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04C_Lines_W_GREEN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04D_Lines_S_OLIVE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04E_Lines_V_GREY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04F_Lines_D_ORANGE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05_HeatLoads_ALL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06_SegmentNames_Vertical_Black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07_Equipment_Major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08_Instruments_Bubbles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09_Control_Elements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10_Signals_Dashed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11_Text_ColorCoded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12_Dots_SpecChanges_ALL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</w:tr>
    </w:tbl>
    <w:p>
      <w:pPr>
        <w:pStyle w:val="BodyText"/>
      </w:pPr>
      <w:r>
        <w:t xml:space="preserve">Empty layers (00 grid, 01 titleblock, 03A/03B manifolds, 04G_E_RED, 13 legend) are</w:t>
      </w:r>
      <w:r>
        <w:t xml:space="preserve"> </w:t>
      </w:r>
      <w:r>
        <w:t xml:space="preserve">reserved placeholders for future waves. Rendered artifacts: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output_v6/QCELL/QCELL_13layers.svg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— 1834 elements annotated, 14 layers used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output_v6/RFCELL/RFCELL_13layers.svg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— 591 elements annotated, 12 layers used</w:t>
      </w:r>
    </w:p>
    <w:p>
      <w:pPr>
        <w:numPr>
          <w:ilvl w:val="0"/>
          <w:numId w:val="1002"/>
        </w:numPr>
        <w:pStyle w:val="Compact"/>
      </w:pPr>
      <w:r>
        <w:t xml:space="preserve">Interactive layer-toggle atlas →</w:t>
      </w:r>
      <w:r>
        <w:t xml:space="preserve"> </w:t>
      </w:r>
      <w:r>
        <w:rPr>
          <w:rStyle w:val="VerbatimChar"/>
        </w:rPr>
        <w:t xml:space="preserve">publish/layered_atlas_v6.html</w:t>
      </w:r>
    </w:p>
    <w:p>
      <w:pPr>
        <w:pStyle w:val="FirstParagraph"/>
      </w:pPr>
      <w:r>
        <w:t xml:space="preserve">Elements are annotated</w:t>
      </w:r>
      <w:r>
        <w:t xml:space="preserve"> </w:t>
      </w:r>
      <w:r>
        <w:rPr>
          <w:bCs/>
          <w:b/>
        </w:rPr>
        <w:t xml:space="preserve">in place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class="lyr-NN"</w:t>
      </w:r>
      <w:r>
        <w:t xml:space="preserve"> </w:t>
      </w:r>
      <w:r>
        <w:t xml:space="preserve">to preserve CTM transforms.</w:t>
      </w:r>
    </w:p>
    <w:p>
      <w:pPr>
        <w:pStyle w:val="BodyText"/>
      </w:pPr>
      <w:r>
        <w:rPr>
          <w:bCs/>
          <w:b/>
        </w:rPr>
        <w:t xml:space="preserve">Layer sum-check (exact reconciliation):</w:t>
      </w:r>
      <w:r>
        <w:t xml:space="preserve"> </w:t>
      </w:r>
      <w:r>
        <w:rPr>
          <w:rStyle w:val="VerbatimChar"/>
        </w:rPr>
        <w:t xml:space="preserve">1888 drawable + 533 text = 2421</w:t>
      </w:r>
      <w:r>
        <w:t xml:space="preserve"> </w:t>
      </w:r>
      <w:r>
        <w:t xml:space="preserve">total elements assigned, with</w:t>
      </w:r>
      <w:r>
        <w:t xml:space="preserve"> </w:t>
      </w:r>
      <w:r>
        <w:rPr>
          <w:bCs/>
          <w:b/>
        </w:rPr>
        <w:t xml:space="preserve">no drops and no double-counts</w:t>
      </w:r>
      <w:r>
        <w:t xml:space="preserve"> </w:t>
      </w:r>
      <w:r>
        <w:t xml:space="preserve">— every input</w:t>
      </w:r>
      <w:r>
        <w:t xml:space="preserve"> </w:t>
      </w:r>
      <w:r>
        <w:t xml:space="preserve">element lands in exactly one layer bucket. (The 1888 drawable = 1375 QCELL +</w:t>
      </w:r>
      <w:r>
        <w:t xml:space="preserve"> </w:t>
      </w:r>
      <w:r>
        <w:t xml:space="preserve">513 RFCELL; shapes: 670 triangle / 374 line / 239 path / 205 dot / 162 bubble /</w:t>
      </w:r>
      <w:r>
        <w:t xml:space="preserve"> </w:t>
      </w:r>
      <w:r>
        <w:t xml:space="preserve">132 arrow / 106 rect.) The in-place atlas annotation reports</w:t>
      </w:r>
      <w:r>
        <w:t xml:space="preserve"> </w:t>
      </w:r>
      <w:r>
        <w:rPr>
          <w:bCs/>
          <w:b/>
        </w:rPr>
        <w:t xml:space="preserve">2425</w:t>
      </w:r>
      <w:r>
        <w:t xml:space="preserve"> </w:t>
      </w:r>
      <w:r>
        <w:t xml:space="preserve">(1834 QCELL + 591 RFCELL); the</w:t>
      </w:r>
      <w:r>
        <w:t xml:space="preserve"> </w:t>
      </w:r>
      <w:r>
        <w:rPr>
          <w:bCs/>
          <w:b/>
        </w:rPr>
        <w:t xml:space="preserve">+4</w:t>
      </w:r>
      <w:r>
        <w:t xml:space="preserve"> </w:t>
      </w:r>
      <w:r>
        <w:t xml:space="preserve">difference versus 2421 is group-wrapper</w:t>
      </w:r>
      <w:r>
        <w:t xml:space="preserve"> </w:t>
      </w:r>
      <w:r>
        <w:rPr>
          <w:rStyle w:val="VerbatimChar"/>
        </w:rPr>
        <w:t xml:space="preserve">&lt;g&gt;</w:t>
      </w:r>
      <w:r>
        <w:t xml:space="preserve"> </w:t>
      </w:r>
      <w:r>
        <w:t xml:space="preserve">elements that receive a class during annotation but are not leaf drawables</w:t>
      </w:r>
      <w:r>
        <w:t xml:space="preserve"> </w:t>
      </w:r>
      <w:r>
        <w:t xml:space="preserve">— documented here honestly rather than reconciled away.</w:t>
      </w:r>
    </w:p>
    <w:bookmarkEnd w:id="24"/>
    <w:bookmarkStart w:id="25" w:name="phase-5-geometric-tracing-flow-topology"/>
    <w:p>
      <w:pPr>
        <w:pStyle w:val="Heading2"/>
      </w:pPr>
      <w:r>
        <w:t xml:space="preserve">Phase 5 — Geometric tracing (flow topology)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arrows traced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arrows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</w:tbl>
    <w:p>
      <w:pPr>
        <w:pStyle w:val="BodyText"/>
      </w:pPr>
      <w:r>
        <w:t xml:space="preserve">Output →</w:t>
      </w:r>
      <w:r>
        <w:t xml:space="preserve"> </w:t>
      </w:r>
      <w:r>
        <w:rPr>
          <w:rStyle w:val="VerbatimChar"/>
        </w:rPr>
        <w:t xml:space="preserve">data/model/flow_topology.json</w:t>
      </w:r>
      <w:r>
        <w:t xml:space="preserve">.</w:t>
      </w:r>
    </w:p>
    <w:bookmarkEnd w:id="25"/>
    <w:bookmarkStart w:id="26" w:name="X2ce889d2b53b4bf55fcb50e5c20a9179f334b79"/>
    <w:p>
      <w:pPr>
        <w:pStyle w:val="Heading2"/>
      </w:pPr>
      <w:r>
        <w:t xml:space="preserve">Phase 6 — Vertical-letter nomenclature parser</w:t>
      </w:r>
    </w:p>
    <w:p>
      <w:pPr>
        <w:pStyle w:val="FirstParagraph"/>
      </w:pPr>
      <w:r>
        <w:t xml:space="preserve">Parsed</w:t>
      </w:r>
      <w:r>
        <w:t xml:space="preserve"> </w:t>
      </w:r>
      <w:r>
        <w:rPr>
          <w:bCs/>
          <w:b/>
        </w:rPr>
        <w:t xml:space="preserve">33</w:t>
      </w:r>
      <w:r>
        <w:t xml:space="preserve"> </w:t>
      </w:r>
      <w:r>
        <w:t xml:space="preserve">segment labels into a parent-header tree: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(4.5 K main, 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A’, AK, AK1, AK2, AL, AL1, AL2, AS, AX, AZ1, AZ2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(manifold, 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D’, DJ, DS,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(vent, GREY)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V501, V502, V503, VH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(manifold, 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E, E’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(2 K, CYAN)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B’, BZ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(warm, OLIVE)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(coupler, 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W, W’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 (TOP-LEFT)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</w:t>
            </w:r>
            <w:r>
              <w:t xml:space="preserve"> </w:t>
            </w:r>
            <w:r>
              <w:t xml:space="preserve">— currently black, flagged for recovery</w:t>
            </w:r>
          </w:p>
        </w:tc>
      </w:tr>
    </w:tbl>
    <w:p>
      <w:pPr>
        <w:pStyle w:val="BodyText"/>
      </w:pPr>
      <w:r>
        <w:t xml:space="preserve">Output →</w:t>
      </w:r>
      <w:r>
        <w:t xml:space="preserve"> </w:t>
      </w:r>
      <w:r>
        <w:rPr>
          <w:rStyle w:val="VerbatimChar"/>
        </w:rPr>
        <w:t xml:space="preserve">data/model/segment_nomenclature.json</w:t>
      </w:r>
      <w:r>
        <w:t xml:space="preserve">.</w:t>
      </w:r>
    </w:p>
    <w:bookmarkEnd w:id="26"/>
    <w:bookmarkStart w:id="27" w:name="phase-7-component-catalog"/>
    <w:p>
      <w:pPr>
        <w:pStyle w:val="Heading2"/>
      </w:pPr>
      <w:r>
        <w:t xml:space="preserve">Phase 7 — Component catalog</w:t>
      </w:r>
    </w:p>
    <w:p>
      <w:pPr>
        <w:pStyle w:val="FirstParagraph"/>
      </w:pPr>
      <w:r>
        <w:rPr>
          <w:bCs/>
          <w:b/>
        </w:rPr>
        <w:t xml:space="preserve">297</w:t>
      </w:r>
      <w:r>
        <w:t xml:space="preserve"> </w:t>
      </w:r>
      <w:r>
        <w:t xml:space="preserve">components cataloged with line assignment, tag, prefix and coordinates.</w:t>
      </w:r>
      <w:r>
        <w:t xml:space="preserve"> </w:t>
      </w:r>
      <w:r>
        <w:t xml:space="preserve">Spec-change dots by line: S 40, V 10, B 2, uncoloured 153.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reports/COMPONENT_CATALOG.xlsx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publish/component_catalog.html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data/model/spec_dots_catalog.json</w:t>
      </w:r>
    </w:p>
    <w:bookmarkEnd w:id="27"/>
    <w:bookmarkStart w:id="28" w:name="phase-8-scope-boundary-validation"/>
    <w:p>
      <w:pPr>
        <w:pStyle w:val="Heading2"/>
      </w:pPr>
      <w:r>
        <w:t xml:space="preserve">Phase 8 — Scope boundary validation</w:t>
      </w:r>
    </w:p>
    <w:p>
      <w:pPr>
        <w:pStyle w:val="FirstParagraph"/>
      </w:pPr>
      <w:r>
        <w:t xml:space="preserve">5/5 boundaries (QM, QVB, vacuum_barrier, Jumper, QINFRA),</w:t>
      </w:r>
      <w:r>
        <w:t xml:space="preserve"> </w:t>
      </w:r>
      <w:r>
        <w:rPr>
          <w:bCs/>
          <w:b/>
        </w:rPr>
        <w:t xml:space="preserve">22</w:t>
      </w:r>
      <w:r>
        <w:t xml:space="preserve"> </w:t>
      </w:r>
      <w:r>
        <w:t xml:space="preserve">handover diamonds</w:t>
      </w:r>
      <w:r>
        <w:t xml:space="preserve"> </w:t>
      </w:r>
      <w:r>
        <w:t xml:space="preserve">(TP#101…TP#604),</w:t>
      </w:r>
      <w:r>
        <w:t xml:space="preserve"> </w:t>
      </w:r>
      <w:r>
        <w:rPr>
          <w:bCs/>
          <w:b/>
        </w:rPr>
        <w:t xml:space="preserve">19</w:t>
      </w:r>
      <w:r>
        <w:t xml:space="preserve"> </w:t>
      </w:r>
      <w:r>
        <w:t xml:space="preserve">W-line bottom-right elements. Detail →</w:t>
      </w:r>
      <w:r>
        <w:t xml:space="preserve"> </w:t>
      </w:r>
      <w:r>
        <w:rPr>
          <w:rStyle w:val="VerbatimChar"/>
        </w:rPr>
        <w:t xml:space="preserve">reports/scope_boundary_validation.md</w:t>
      </w:r>
      <w:r>
        <w:t xml:space="preserve">.</w:t>
      </w:r>
    </w:p>
    <w:bookmarkEnd w:id="28"/>
    <w:bookmarkStart w:id="29" w:name="phase-9-pemo-yaml-1.2-ssot"/>
    <w:p>
      <w:pPr>
        <w:pStyle w:val="Heading2"/>
      </w:pPr>
      <w:r>
        <w:t xml:space="preserve">Phase 9 — PEMO YAML 1.2 SSOT</w:t>
      </w:r>
    </w:p>
    <w:p>
      <w:pPr>
        <w:pStyle w:val="FirstParagraph"/>
      </w:pPr>
      <w:r>
        <w:rPr>
          <w:rStyle w:val="VerbatimChar"/>
        </w:rPr>
        <w:t xml:space="preserve">data/pemo/ic_system_v1.2.yaml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122</w:t>
      </w:r>
      <w:r>
        <w:t xml:space="preserve"> </w:t>
      </w:r>
      <w:r>
        <w:t xml:space="preserve">control loops,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heat loads emitted as a</w:t>
      </w:r>
      <w:r>
        <w:t xml:space="preserve"> </w:t>
      </w:r>
      <w:r>
        <w:t xml:space="preserve">single source of truth.</w:t>
      </w:r>
    </w:p>
    <w:bookmarkEnd w:id="29"/>
    <w:bookmarkStart w:id="30" w:name="phase-10-documentation"/>
    <w:p>
      <w:pPr>
        <w:pStyle w:val="Heading2"/>
      </w:pPr>
      <w:r>
        <w:t xml:space="preserve">Phase 10 — Documentation</w:t>
      </w:r>
    </w:p>
    <w:p>
      <w:pPr>
        <w:pStyle w:val="FirstParagraph"/>
      </w:pPr>
      <w:r>
        <w:rPr>
          <w:rStyle w:val="VerbatimChar"/>
        </w:rPr>
        <w:t xml:space="preserve">docs/VERSION_CHANGELOG.md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docs/BUILD_MANIFEST.json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docs/CAPABILITY_MATRIX.md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docs/TODO.md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docs/GITHUB_PR_PLAN.md</w:t>
      </w:r>
      <w:r>
        <w:t xml:space="preserve">, plus this report and the layered atlas.</w:t>
      </w:r>
    </w:p>
    <w:p>
      <w:r>
        <w:pict>
          <v:rect style="width:0;height:1.5pt" o:hralign="center" o:hrstd="t" o:hr="t"/>
        </w:pict>
      </w:r>
    </w:p>
    <w:bookmarkEnd w:id="30"/>
    <w:bookmarkStart w:id="31" w:name="deferred-honest-gaps"/>
    <w:p>
      <w:pPr>
        <w:pStyle w:val="Heading2"/>
      </w:pPr>
      <w:r>
        <w:t xml:space="preserve">Deferred / honest gaps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 magenta / non-canonical colour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no legend swatch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 line (top-left, currently 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recovery in future 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04G_E_RED line layer (0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RED currently maps to E text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 floating arrows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Isolated, not yet bound to a source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Manifold COLD/WARM header layers (03A/03B)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placeholders</w:t>
            </w:r>
          </w:p>
        </w:tc>
      </w:tr>
    </w:tbl>
    <w:bookmarkEnd w:id="31"/>
    <w:bookmarkStart w:id="32" w:name="reproduction"/>
    <w:p>
      <w:pPr>
        <w:pStyle w:val="Heading2"/>
      </w:pPr>
      <w:r>
        <w:t xml:space="preserve">Reproduction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/home/ubuntu/pid_project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abacus_svg_pid.build_w003_w004   </w:t>
      </w:r>
      <w:r>
        <w:rPr>
          <w:rStyle w:val="CommentTok"/>
        </w:rPr>
        <w:t xml:space="preserve"># phases 1-9 models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abacus_svg_pid.build_catalog     </w:t>
      </w:r>
      <w:r>
        <w:rPr>
          <w:rStyle w:val="CommentTok"/>
        </w:rPr>
        <w:t xml:space="preserve"># phase 7 xlsx+html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abacus_svg_pid.build_atlas_v6    </w:t>
      </w:r>
      <w:r>
        <w:rPr>
          <w:rStyle w:val="CommentTok"/>
        </w:rPr>
        <w:t xml:space="preserve"># phase 4 svg/pdf/atlas</w:t>
      </w:r>
    </w:p>
    <w:p>
      <w:pPr>
        <w:pStyle w:val="FirstParagraph"/>
      </w:pPr>
      <w:r>
        <w:t xml:space="preserve">All HTML deliverables are static files (no server required).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2026-06-04T15:48:32Z</dcterms:created>
  <dcterms:modified xsi:type="dcterms:W3CDTF">2026-06-04T15:48:32Z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