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85a4616e867675f9ce8033a04fae21e090e14f"/>
    <w:p>
      <w:pPr>
        <w:pStyle w:val="Heading1"/>
      </w:pPr>
      <w:r>
        <w:t xml:space="preserve">MINERVA CryoCell P&amp;ID — Reproduction &amp; Standardisation Report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CryoCell (SCK CEN / 84836013)</w:t>
      </w:r>
      <w:r>
        <w:t xml:space="preserve"> </w:t>
      </w:r>
      <w:r>
        <w:rPr>
          <w:bCs/>
          <w:b/>
        </w:rPr>
        <w:t xml:space="preserve">Deliverable:</w:t>
      </w:r>
      <w:r>
        <w:t xml:space="preserve"> </w:t>
      </w:r>
      <w:r>
        <w:t xml:space="preserve">Reproduced &amp; improved Piping &amp; Instrumentation Diagrams</w:t>
      </w:r>
      <w:r>
        <w:t xml:space="preserve"> </w:t>
      </w:r>
      <w:r>
        <w:rPr>
          <w:bCs/>
          <w:b/>
        </w:rPr>
        <w:t xml:space="preserve">Standards applied:</w:t>
      </w:r>
      <w:r>
        <w:t xml:space="preserve"> </w:t>
      </w:r>
      <w:r>
        <w:t xml:space="preserve">ISO 10628 (flow diagrams) · ANSI/ISA-5.1 (instrumentation symbols &amp; identification)</w:t>
      </w:r>
      <w:r>
        <w:t xml:space="preserve"> </w:t>
      </w:r>
      <w:r>
        <w:rPr>
          <w:bCs/>
          <w:b/>
        </w:rPr>
        <w:t xml:space="preserve">Sheet format:</w:t>
      </w:r>
      <w:r>
        <w:t xml:space="preserve"> </w:t>
      </w:r>
      <w:r>
        <w:t xml:space="preserve">ISO A3 landscape — 420 mm × 297 mm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v2.0 (rebuilt)</w:t>
      </w:r>
    </w:p>
    <w:p>
      <w:r>
        <w:pict>
          <v:rect style="width:0;height:1.5pt" o:hralign="center" o:hrstd="t" o:hr="t"/>
        </w:pict>
      </w:r>
    </w:p>
    <w:bookmarkStart w:id="21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Two source P&amp;ID sheets were reproduced and improved: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4118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QCELL-LB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PFD-PID MINERVA QCELL-LB.svg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 / LB cryogenic flow scheme (full)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PFD-PID MINERVA RFCELL seen by ACR.svg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RFCELL DI-water / coupler module</w:t>
            </w:r>
          </w:p>
        </w:tc>
      </w:tr>
    </w:tbl>
    <w:p>
      <w:pPr>
        <w:pStyle w:val="BodyText"/>
      </w:pPr>
      <w:r>
        <w:t xml:space="preserve">The rebuild is</w:t>
      </w:r>
      <w:r>
        <w:t xml:space="preserve"> </w:t>
      </w:r>
      <w:r>
        <w:rPr>
          <w:bCs/>
          <w:b/>
        </w:rPr>
        <w:t xml:space="preserve">data-driven</w:t>
      </w:r>
      <w:r>
        <w:t xml:space="preserve">: it re-uses the validated segmentation produced</w:t>
      </w:r>
      <w:r>
        <w:t xml:space="preserve"> </w:t>
      </w:r>
      <w:r>
        <w:t xml:space="preserve">in the previous project stage (</w:t>
      </w:r>
      <w:r>
        <w:rPr>
          <w:rStyle w:val="VerbatimChar"/>
        </w:rPr>
        <w:t xml:space="preserve">segmentation/data/*.json</w:t>
      </w:r>
      <w:r>
        <w:t xml:space="preserve">) for all instrument,</w:t>
      </w:r>
      <w:r>
        <w:t xml:space="preserve"> </w:t>
      </w:r>
      <w:r>
        <w:t xml:space="preserve">equipment, safety and vacuum elements, and re-extracts the original process-line</w:t>
      </w:r>
      <w:r>
        <w:t xml:space="preserve"> </w:t>
      </w:r>
      <w:r>
        <w:t xml:space="preserve">geometry with fully resolved transforms so the pipe network is preserved exactly</w:t>
      </w:r>
      <w:r>
        <w:t xml:space="preserve"> </w:t>
      </w:r>
      <w:r>
        <w:t xml:space="preserve">while being recoloured and re-weighted to standard.</w:t>
      </w:r>
    </w:p>
    <w:bookmarkStart w:id="20" w:name="output-files-output"/>
    <w:p>
      <w:pPr>
        <w:pStyle w:val="Heading3"/>
      </w:pPr>
      <w:r>
        <w:t xml:space="preserve">Output files (</w:t>
      </w:r>
      <w:r>
        <w:rPr>
          <w:rStyle w:val="VerbatimChar"/>
        </w:rPr>
        <w:t xml:space="preserve">output/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PID_QCELL-LB_improved.svg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QCELL-LB sheet (A3)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PID_RFCELL_improved.svg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RFCELL sheet (A3)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TECHNICAL_DOCUMENTATION.md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LAYER_STRUCTURE.md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 hierarchy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previews/*.png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Raster previews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how-the-diagrams-were-rebuilt"/>
    <w:p>
      <w:pPr>
        <w:pStyle w:val="Heading2"/>
      </w:pPr>
      <w:r>
        <w:t xml:space="preserve">2. How the diagrams were rebuilt</w:t>
      </w:r>
    </w:p>
    <w:p>
      <w:pPr>
        <w:pStyle w:val="FirstParagraph"/>
      </w:pPr>
      <w:r>
        <w:t xml:space="preserve">The generator lives in</w:t>
      </w:r>
      <w:r>
        <w:t xml:space="preserve"> </w:t>
      </w:r>
      <w:r>
        <w:rPr>
          <w:rStyle w:val="VerbatimChar"/>
        </w:rPr>
        <w:t xml:space="preserve">generator/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svg_extract.py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Walks the source SVG, accumulates the full CTM for every node, captures every graphic primitive with resolved transform, stroke/fill colour, width, dash and owning layer, and</w:t>
            </w:r>
            <w:r>
              <w:t xml:space="preserve"> </w:t>
            </w:r>
            <w:r>
              <w:rPr>
                <w:bCs/>
                <w:b/>
              </w:rPr>
              <w:t xml:space="preserve">bins</w:t>
            </w:r>
            <w:r>
              <w:t xml:space="preserve"> </w:t>
            </w:r>
            <w:r>
              <w:t xml:space="preserve">it (process line by class, structure, instrument-bubble candidate, dashed boundary, coloured fill/node).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ISA-5.1 / ISO-10628 symbol primitives: instrument bubbles, valves (manual / control / solenoid / relief), vessels, cavity/coupler bodies, heat exchangers, terminal points, heat-load callouts, junction nodes.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build_pid.py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Composes the A3 sheet: frame + title block, equipment, colour-segmented process lines, vacuum barriers, fresh ISA instrument bubbles, ISA tags and the full legend. Emits SVG and feeds the PDF conversion.</w:t>
            </w:r>
          </w:p>
        </w:tc>
      </w:tr>
    </w:tbl>
    <w:p>
      <w:pPr>
        <w:pStyle w:val="BodyText"/>
      </w:pPr>
      <w:r>
        <w:t xml:space="preserve">Re-run with: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generator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build_pid.py</w:t>
      </w:r>
    </w:p>
    <w:p>
      <w:r>
        <w:pict>
          <v:rect style="width:0;height:1.5pt" o:hralign="center" o:hrstd="t" o:hr="t"/>
        </w:pict>
      </w:r>
    </w:p>
    <w:bookmarkEnd w:id="22"/>
    <w:bookmarkStart w:id="30" w:name="improvements-made"/>
    <w:p>
      <w:pPr>
        <w:pStyle w:val="Heading2"/>
      </w:pPr>
      <w:r>
        <w:t xml:space="preserve">3. Improvements made</w:t>
      </w:r>
    </w:p>
    <w:bookmarkStart w:id="23" w:name="sheet-border-title-block"/>
    <w:p>
      <w:pPr>
        <w:pStyle w:val="Heading3"/>
      </w:pPr>
      <w:r>
        <w:t xml:space="preserve">3.1 Sheet, border &amp; title block</w:t>
      </w:r>
    </w:p>
    <w:p>
      <w:pPr>
        <w:numPr>
          <w:ilvl w:val="0"/>
          <w:numId w:val="1001"/>
        </w:numPr>
        <w:pStyle w:val="Compact"/>
      </w:pPr>
      <w:r>
        <w:t xml:space="preserve">Re-laid out on a</w:t>
      </w:r>
      <w:r>
        <w:t xml:space="preserve"> </w:t>
      </w:r>
      <w:r>
        <w:rPr>
          <w:bCs/>
          <w:b/>
        </w:rPr>
        <w:t xml:space="preserve">true ISO A3 landscape</w:t>
      </w:r>
      <w:r>
        <w:t xml:space="preserve"> </w:t>
      </w:r>
      <w:r>
        <w:t xml:space="preserve">canvas (420 × 297 mm,</w:t>
      </w:r>
      <w:r>
        <w:t xml:space="preserve"> </w:t>
      </w:r>
      <w:r>
        <w:rPr>
          <w:rStyle w:val="VerbatimChar"/>
        </w:rPr>
        <w:t xml:space="preserve">viewBox 0 0 1587.273 1122.430</w:t>
      </w:r>
      <w:r>
        <w:t xml:space="preserve">, ratio 1.41414).</w:t>
      </w:r>
    </w:p>
    <w:p>
      <w:pPr>
        <w:numPr>
          <w:ilvl w:val="0"/>
          <w:numId w:val="1001"/>
        </w:numPr>
        <w:pStyle w:val="Compact"/>
      </w:pPr>
      <w:r>
        <w:t xml:space="preserve">Added a</w:t>
      </w:r>
      <w:r>
        <w:t xml:space="preserve"> </w:t>
      </w:r>
      <w:r>
        <w:rPr>
          <w:bCs/>
          <w:b/>
        </w:rPr>
        <w:t xml:space="preserve">double-line drawing border</w:t>
      </w:r>
      <w:r>
        <w:t xml:space="preserve"> </w:t>
      </w:r>
      <w:r>
        <w:t xml:space="preserve">and a structured</w:t>
      </w:r>
      <w:r>
        <w:t xml:space="preserve"> </w:t>
      </w:r>
      <w:r>
        <w:rPr>
          <w:bCs/>
          <w:b/>
        </w:rPr>
        <w:t xml:space="preserve">title block</w:t>
      </w:r>
      <w:r>
        <w:t xml:space="preserve"> </w:t>
      </w:r>
      <w:r>
        <w:t xml:space="preserve">(project, title, drawing number, standard, revision).</w:t>
      </w:r>
    </w:p>
    <w:p>
      <w:pPr>
        <w:numPr>
          <w:ilvl w:val="0"/>
          <w:numId w:val="1001"/>
        </w:numPr>
        <w:pStyle w:val="Compact"/>
      </w:pPr>
      <w:r>
        <w:t xml:space="preserve">The original drawing content is mapped uniformly into a reserved content</w:t>
      </w:r>
      <w:r>
        <w:t xml:space="preserve"> </w:t>
      </w:r>
      <w:r>
        <w:t xml:space="preserve">region so the border, the right-hand legend column and the bottom class-legend</w:t>
      </w:r>
      <w:r>
        <w:t xml:space="preserve"> </w:t>
      </w:r>
      <w:r>
        <w:t xml:space="preserve">band never overlap the schematic.</w:t>
      </w:r>
    </w:p>
    <w:bookmarkEnd w:id="23"/>
    <w:bookmarkStart w:id="24" w:name="layer-hierarchy-iso-logical-structure"/>
    <w:p>
      <w:pPr>
        <w:pStyle w:val="Heading3"/>
      </w:pPr>
      <w:r>
        <w:t xml:space="preserve">3.2 Layer hierarchy (ISO logical structure)</w:t>
      </w:r>
    </w:p>
    <w:p>
      <w:pPr>
        <w:pStyle w:val="FirstParagraph"/>
      </w:pPr>
      <w:r>
        <w:t xml:space="preserve">The drawing is organised into the requested 7-level Inkscape layer hierarchy with</w:t>
      </w:r>
      <w:r>
        <w:t xml:space="preserve"> </w:t>
      </w:r>
      <w:r>
        <w:t xml:space="preserve">process lines split into colour/class sub-layers — see</w:t>
      </w:r>
      <w:r>
        <w:t xml:space="preserve"> </w:t>
      </w:r>
      <w:r>
        <w:rPr>
          <w:rStyle w:val="VerbatimChar"/>
        </w:rPr>
        <w:t xml:space="preserve">LAYER_STRUCTURE.md</w:t>
      </w:r>
      <w:r>
        <w:t xml:space="preserve">.</w:t>
      </w:r>
    </w:p>
    <w:bookmarkEnd w:id="24"/>
    <w:bookmarkStart w:id="25" w:name="isa-5.1-instrumentation"/>
    <w:p>
      <w:pPr>
        <w:pStyle w:val="Heading3"/>
      </w:pPr>
      <w:r>
        <w:t xml:space="preserve">3.3 ISA-5.1 instrumentation</w:t>
      </w:r>
    </w:p>
    <w:p>
      <w:pPr>
        <w:numPr>
          <w:ilvl w:val="0"/>
          <w:numId w:val="1002"/>
        </w:numPr>
        <w:pStyle w:val="Compact"/>
      </w:pPr>
      <w:r>
        <w:t xml:space="preserve">Every field instrument is redrawn as a</w:t>
      </w:r>
      <w:r>
        <w:t xml:space="preserve"> </w:t>
      </w:r>
      <w:r>
        <w:rPr>
          <w:bCs/>
          <w:b/>
        </w:rPr>
        <w:t xml:space="preserve">standard circular bubble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two-line tag</w:t>
      </w:r>
      <w:r>
        <w:t xml:space="preserve"> </w:t>
      </w:r>
      <w:r>
        <w:t xml:space="preserve">(measured-variable + function letters over loop number),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TT / 514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Tag grammar</w:t>
      </w:r>
      <w:r>
        <w:t xml:space="preserve"> </w:t>
      </w:r>
      <w:r>
        <w:t xml:space="preserve">follows ISA-5.1: first letter = measured variable, succeeding</w:t>
      </w:r>
      <w:r>
        <w:t xml:space="preserve"> </w:t>
      </w:r>
      <w:r>
        <w:t xml:space="preserve">letters = function: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T</w:t>
      </w:r>
      <w:r>
        <w:t xml:space="preserve"> </w:t>
      </w:r>
      <w:r>
        <w:t xml:space="preserve">Temperature,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Pressure,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Level,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Flow,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Electrical,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Analysis,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Speed/Safety,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Radiation …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T</w:t>
      </w:r>
      <w:r>
        <w:t xml:space="preserve"> </w:t>
      </w:r>
      <w:r>
        <w:t xml:space="preserve">Transmitter,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Indicator,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Switch,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Valve,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Element …</w:t>
      </w:r>
    </w:p>
    <w:p>
      <w:pPr>
        <w:numPr>
          <w:ilvl w:val="1"/>
          <w:numId w:val="1003"/>
        </w:numPr>
        <w:pStyle w:val="Compact"/>
      </w:pPr>
      <w:r>
        <w:t xml:space="preserve">Examples present:</w:t>
      </w:r>
      <w:r>
        <w:t xml:space="preserve"> </w:t>
      </w:r>
      <w:r>
        <w:rPr>
          <w:rStyle w:val="VerbatimChar"/>
        </w:rPr>
        <w:t xml:space="preserve">TT</w:t>
      </w:r>
      <w:r>
        <w:t xml:space="preserve"> </w:t>
      </w:r>
      <w:r>
        <w:t xml:space="preserve">temperature transmitter,</w:t>
      </w:r>
      <w:r>
        <w:t xml:space="preserve"> </w:t>
      </w:r>
      <w:r>
        <w:rPr>
          <w:rStyle w:val="VerbatimChar"/>
        </w:rPr>
        <w:t xml:space="preserve">PT</w:t>
      </w:r>
      <w:r>
        <w:t xml:space="preserve"> </w:t>
      </w:r>
      <w:r>
        <w:t xml:space="preserve">pressure transmitter,</w:t>
      </w:r>
      <w:r>
        <w:t xml:space="preserve"> </w:t>
      </w:r>
      <w:r>
        <w:rPr>
          <w:rStyle w:val="VerbatimChar"/>
        </w:rPr>
        <w:t xml:space="preserve">LT</w:t>
      </w:r>
      <w:r>
        <w:t xml:space="preserve"> </w:t>
      </w:r>
      <w:r>
        <w:t xml:space="preserve">level transmitter,</w:t>
      </w:r>
      <w:r>
        <w:t xml:space="preserve"> </w:t>
      </w:r>
      <w:r>
        <w:rPr>
          <w:rStyle w:val="VerbatimChar"/>
        </w:rPr>
        <w:t xml:space="preserve">FT</w:t>
      </w:r>
      <w:r>
        <w:t xml:space="preserve"> </w:t>
      </w:r>
      <w:r>
        <w:t xml:space="preserve">flow transmitter,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level switch,</w:t>
      </w:r>
      <w:r>
        <w:t xml:space="preserve"> </w:t>
      </w:r>
      <w:r>
        <w:rPr>
          <w:rStyle w:val="VerbatimChar"/>
        </w:rPr>
        <w:t xml:space="preserve">EH</w:t>
      </w:r>
      <w:r>
        <w:t xml:space="preserve"> </w:t>
      </w:r>
      <w:r>
        <w:t xml:space="preserve">electric heater,</w:t>
      </w:r>
      <w:r>
        <w:t xml:space="preserve"> </w:t>
      </w:r>
      <w:r>
        <w:rPr>
          <w:rStyle w:val="VerbatimChar"/>
        </w:rPr>
        <w:t xml:space="preserve">PZ/FZ</w:t>
      </w:r>
      <w:r>
        <w:t xml:space="preserve"> </w:t>
      </w:r>
      <w:r>
        <w:t xml:space="preserve">safety variants,</w:t>
      </w:r>
      <w:r>
        <w:t xml:space="preserve"> </w:t>
      </w:r>
      <w:r>
        <w:rPr>
          <w:rStyle w:val="VerbatimChar"/>
        </w:rPr>
        <w:t xml:space="preserve">AP</w:t>
      </w:r>
      <w:r>
        <w:t xml:space="preserve"> </w:t>
      </w:r>
      <w:r>
        <w:t xml:space="preserve">analysis/antenna probe.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Bubble fill encodes the instrument family</w:t>
      </w:r>
      <w:r>
        <w:t xml:space="preserve"> </w:t>
      </w:r>
      <w:r>
        <w:t xml:space="preserve">(per the source legend):</w:t>
      </w:r>
      <w:r>
        <w:t xml:space="preserve"> </w:t>
      </w:r>
      <w:r>
        <w:t xml:space="preserve">white = LB cryo instrument, salmon = RFCELL instrument, light-blue =</w:t>
      </w:r>
      <w:r>
        <w:t xml:space="preserve"> </w:t>
      </w:r>
      <w:r>
        <w:t xml:space="preserve">LBI-specific instrument.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Protection / safety instruments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SV</w:t>
      </w:r>
      <w:r>
        <w:t xml:space="preserve">,</w:t>
      </w:r>
      <w:r>
        <w:t xml:space="preserve"> </w:t>
      </w:r>
      <w:r>
        <w:rPr>
          <w:rStyle w:val="VerbatimChar"/>
        </w:rPr>
        <w:t xml:space="preserve">RV</w:t>
      </w:r>
      <w:r>
        <w:t xml:space="preserve">,</w:t>
      </w:r>
      <w:r>
        <w:t xml:space="preserve"> </w:t>
      </w:r>
      <w:r>
        <w:rPr>
          <w:rStyle w:val="VerbatimChar"/>
        </w:rPr>
        <w:t xml:space="preserve">PL</w:t>
      </w:r>
      <w:r>
        <w:t xml:space="preserve">,</w:t>
      </w:r>
      <w:r>
        <w:t xml:space="preserve"> </w:t>
      </w:r>
      <w:r>
        <w:rPr>
          <w:rStyle w:val="VerbatimChar"/>
        </w:rPr>
        <w:t xml:space="preserve">PZ</w:t>
      </w:r>
      <w:r>
        <w:t xml:space="preserve">,</w:t>
      </w:r>
      <w:r>
        <w:t xml:space="preserve"> </w:t>
      </w:r>
      <w:r>
        <w:rPr>
          <w:rStyle w:val="VerbatimChar"/>
        </w:rPr>
        <w:t xml:space="preserve">FZ</w:t>
      </w:r>
      <w:r>
        <w:t xml:space="preserve"> </w:t>
      </w:r>
      <w:r>
        <w:t xml:space="preserve">…) use a</w:t>
      </w:r>
      <w:r>
        <w:t xml:space="preserve"> </w:t>
      </w:r>
      <w:r>
        <w:rPr>
          <w:bCs/>
          <w:b/>
        </w:rPr>
        <w:t xml:space="preserve">dashed bubble outline</w:t>
      </w:r>
      <w:r>
        <w:t xml:space="preserve"> </w:t>
      </w:r>
      <w:r>
        <w:t xml:space="preserve">— the ISA convention for interlock/safety functions.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Valves</w:t>
      </w:r>
      <w:r>
        <w:t xml:space="preserve"> </w:t>
      </w:r>
      <w:r>
        <w:t xml:space="preserve">are drawn with correct bodies and actuators:</w:t>
      </w:r>
      <w:r>
        <w:t xml:space="preserve"> </w:t>
      </w:r>
      <w:r>
        <w:t xml:space="preserve">hand valve (hand-wheel), control valve (diaphragm), solenoid valve (</w:t>
      </w:r>
      <w:r>
        <w:rPr>
          <w:rStyle w:val="VerbatimChar"/>
        </w:rPr>
        <w:t xml:space="preserve">S</w:t>
      </w:r>
      <w:r>
        <w:t xml:space="preserve"> </w:t>
      </w:r>
      <w:r>
        <w:t xml:space="preserve">box),</w:t>
      </w:r>
      <w:r>
        <w:t xml:space="preserve"> </w:t>
      </w:r>
      <w:r>
        <w:t xml:space="preserve">relief valve (angle/spring) — replacing generic bubbles for</w:t>
      </w:r>
      <w:r>
        <w:t xml:space="preserve"> </w:t>
      </w:r>
      <w:r>
        <w:rPr>
          <w:rStyle w:val="VerbatimChar"/>
        </w:rPr>
        <w:t xml:space="preserve">HV/CV/SV/RV</w:t>
      </w:r>
      <w:r>
        <w:t xml:space="preserve">.</w:t>
      </w:r>
    </w:p>
    <w:bookmarkEnd w:id="25"/>
    <w:bookmarkStart w:id="26" w:name="colour-segmentation-of-process-lines"/>
    <w:p>
      <w:pPr>
        <w:pStyle w:val="Heading3"/>
      </w:pPr>
      <w:r>
        <w:t xml:space="preserve">3.4 Colour segmentation of process lines</w:t>
      </w:r>
    </w:p>
    <w:p>
      <w:pPr>
        <w:pStyle w:val="FirstParagraph"/>
      </w:pPr>
      <w:r>
        <w:t xml:space="preserve">The original used inconsistent / very light screen colours. Lines are now</w:t>
      </w:r>
      <w:r>
        <w:t xml:space="preserve"> </w:t>
      </w:r>
      <w:r>
        <w:t xml:space="preserve">recoloured to a</w:t>
      </w:r>
      <w:r>
        <w:t xml:space="preserve"> </w:t>
      </w:r>
      <w:r>
        <w:rPr>
          <w:bCs/>
          <w:b/>
        </w:rPr>
        <w:t xml:space="preserve">consistent, print-legible palette</w:t>
      </w:r>
      <w:r>
        <w:t xml:space="preserve">, one Inkscape sub-layer per</w:t>
      </w:r>
      <w:r>
        <w:t xml:space="preserve"> </w:t>
      </w:r>
      <w:r>
        <w:t xml:space="preserve">class, with standard weights and line styles: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036"/>
        <w:gridCol w:w="1810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 / 3 bar — LHe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  <w:r>
              <w:t xml:space="preserve"> </w:t>
            </w:r>
            <w:r>
              <w:rPr>
                <w:rStyle w:val="VerbatimChar"/>
              </w:rPr>
              <w:t xml:space="preserve">#0033cc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solid, 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K / 27 mbar — 2 K LP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</w:t>
            </w:r>
            <w:r>
              <w:t xml:space="preserve"> </w:t>
            </w:r>
            <w:r>
              <w:rPr>
                <w:rStyle w:val="VerbatimChar"/>
              </w:rPr>
              <w:t xml:space="preserve">#00a6bd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solid, 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 / 14 bar — thermal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  <w:r>
              <w:t xml:space="preserve"> </w:t>
            </w:r>
            <w:r>
              <w:rPr>
                <w:rStyle w:val="VerbatimChar"/>
              </w:rPr>
              <w:t xml:space="preserve">#e00000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solid, 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 / 13 bar — return / He-guard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olive</w:t>
            </w:r>
            <w:r>
              <w:t xml:space="preserve"> </w:t>
            </w:r>
            <w:r>
              <w:rPr>
                <w:rStyle w:val="VerbatimChar"/>
              </w:rPr>
              <w:t xml:space="preserve">#8a8a00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solid, 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cooling water (coupler / FREIA)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  <w:r>
              <w:t xml:space="preserve"> </w:t>
            </w:r>
            <w:r>
              <w:rPr>
                <w:rStyle w:val="VerbatimChar"/>
              </w:rPr>
              <w:t xml:space="preserve">#00a000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solid,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scope 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green</w:t>
            </w:r>
            <w:r>
              <w:t xml:space="preserve"> </w:t>
            </w:r>
            <w:r>
              <w:rPr>
                <w:rStyle w:val="VerbatimChar"/>
              </w:rPr>
              <w:t xml:space="preserve">#006400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Inst.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pneumatic 6 (5–7) bar(g)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</w:t>
            </w:r>
            <w:r>
              <w:t xml:space="preserve"> </w:t>
            </w:r>
            <w:r>
              <w:rPr>
                <w:rStyle w:val="VerbatimChar"/>
              </w:rPr>
              <w:t xml:space="preserve">#c000c0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dash-dot</w:t>
            </w:r>
          </w:p>
        </w:tc>
      </w:tr>
    </w:tbl>
    <w:p>
      <w:pPr>
        <w:pStyle w:val="BodyText"/>
      </w:pPr>
      <w:r>
        <w:t xml:space="preserve">Bulky solid colour blocks in the source were converted to</w:t>
      </w:r>
      <w:r>
        <w:t xml:space="preserve"> </w:t>
      </w:r>
      <w:r>
        <w:rPr>
          <w:bCs/>
          <w:b/>
        </w:rPr>
        <w:t xml:space="preserve">translucent service</w:t>
      </w:r>
      <w:r>
        <w:rPr>
          <w:bCs/>
          <w:b/>
        </w:rPr>
        <w:t xml:space="preserve"> </w:t>
      </w:r>
      <w:r>
        <w:rPr>
          <w:bCs/>
          <w:b/>
        </w:rPr>
        <w:t xml:space="preserve">zones</w:t>
      </w:r>
      <w:r>
        <w:t xml:space="preserve"> </w:t>
      </w:r>
      <w:r>
        <w:t xml:space="preserve">(22 % fill) so they read as highlighting rather than obscuring the</w:t>
      </w:r>
      <w:r>
        <w:t xml:space="preserve"> </w:t>
      </w:r>
      <w:r>
        <w:t xml:space="preserve">schematic; pipe junctions are drawn as small solid nodes in the class colour.</w:t>
      </w:r>
    </w:p>
    <w:bookmarkEnd w:id="26"/>
    <w:bookmarkStart w:id="27" w:name="vacuum-barriers-boundaries"/>
    <w:p>
      <w:pPr>
        <w:pStyle w:val="Heading3"/>
      </w:pPr>
      <w:r>
        <w:t xml:space="preserve">3.5 Vacuum barriers &amp; boundaries</w:t>
      </w:r>
    </w:p>
    <w:p>
      <w:pPr>
        <w:pStyle w:val="FirstParagraph"/>
      </w:pPr>
      <w:r>
        <w:t xml:space="preserve">Dashed structural boundaries (vacuum vessel / scope divisions) are collected into</w:t>
      </w:r>
      <w:r>
        <w:t xml:space="preserve"> </w:t>
      </w:r>
      <w:r>
        <w:t xml:space="preserve">a dedicated</w:t>
      </w:r>
      <w:r>
        <w:t xml:space="preserve"> </w:t>
      </w:r>
      <w:r>
        <w:rPr>
          <w:bCs/>
          <w:b/>
        </w:rPr>
        <w:t xml:space="preserve">L4 — Vacuum Barriers &amp; Boundaries</w:t>
      </w:r>
      <w:r>
        <w:t xml:space="preserve"> </w:t>
      </w:r>
      <w:r>
        <w:t xml:space="preserve">layer with a standard dashed</w:t>
      </w:r>
      <w:r>
        <w:t xml:space="preserve"> </w:t>
      </w:r>
      <w:r>
        <w:t xml:space="preserve">style, plus the explicit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vacuum barrier</w:t>
      </w:r>
      <w:r>
        <w:rPr>
          <w:iCs/>
          <w:i/>
        </w:rPr>
        <w:t xml:space="preserve">”</w:t>
      </w:r>
      <w:r>
        <w:t xml:space="preserve"> </w:t>
      </w:r>
      <w:r>
        <w:t xml:space="preserve">annotation.</w:t>
      </w:r>
    </w:p>
    <w:bookmarkEnd w:id="27"/>
    <w:bookmarkStart w:id="28" w:name="legend-enhancement"/>
    <w:p>
      <w:pPr>
        <w:pStyle w:val="Heading3"/>
      </w:pPr>
      <w:r>
        <w:t xml:space="preserve">3.6 Legend enhancement</w:t>
      </w:r>
    </w:p>
    <w:p>
      <w:pPr>
        <w:pStyle w:val="FirstParagraph"/>
      </w:pPr>
      <w:r>
        <w:t xml:space="preserve">A comprehensive two-part legend was added: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Right column:</w:t>
      </w:r>
      <w:r>
        <w:t xml:space="preserve"> </w:t>
      </w:r>
      <w:r>
        <w:t xml:space="preserve">instrument-bubble key (families + safety), tag-grammar note,</w:t>
      </w:r>
      <w:r>
        <w:t xml:space="preserve"> </w:t>
      </w:r>
      <w:r>
        <w:t xml:space="preserve">valve &amp; equipment symbols, heat-load callout, terminal/scope point, vacuum</w:t>
      </w:r>
      <w:r>
        <w:t xml:space="preserve"> </w:t>
      </w:r>
      <w:r>
        <w:t xml:space="preserve">boundary.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Bottom band:</w:t>
      </w:r>
      <w:r>
        <w:t xml:space="preserve"> </w:t>
      </w:r>
      <w:r>
        <w:t xml:space="preserve">process-line class legend mapping each colour to its</w:t>
      </w:r>
      <w:r>
        <w:t xml:space="preserve"> </w:t>
      </w:r>
      <w:r>
        <w:t xml:space="preserve">temperature/pressure service and description.</w:t>
      </w:r>
    </w:p>
    <w:bookmarkEnd w:id="28"/>
    <w:bookmarkStart w:id="29" w:name="quality"/>
    <w:p>
      <w:pPr>
        <w:pStyle w:val="Heading3"/>
      </w:pPr>
      <w:r>
        <w:t xml:space="preserve">3.7 Quality</w:t>
      </w:r>
    </w:p>
    <w:p>
      <w:pPr>
        <w:numPr>
          <w:ilvl w:val="0"/>
          <w:numId w:val="1004"/>
        </w:numPr>
        <w:pStyle w:val="Compact"/>
      </w:pPr>
      <w:r>
        <w:t xml:space="preserve">Standardised line weights and rounded joins/caps.</w:t>
      </w:r>
    </w:p>
    <w:p>
      <w:pPr>
        <w:numPr>
          <w:ilvl w:val="0"/>
          <w:numId w:val="1004"/>
        </w:numPr>
        <w:pStyle w:val="Compact"/>
      </w:pPr>
      <w:r>
        <w:t xml:space="preserve">Minimum on-sheet text sizes kept legible (≈ 6 pt and up).</w:t>
      </w:r>
    </w:p>
    <w:p>
      <w:pPr>
        <w:numPr>
          <w:ilvl w:val="0"/>
          <w:numId w:val="1004"/>
        </w:numPr>
        <w:pStyle w:val="Compact"/>
      </w:pPr>
      <w:r>
        <w:t xml:space="preserve">Suppressed the messy/overlapping original bubble circles and redrew clean ones.</w:t>
      </w:r>
    </w:p>
    <w:p>
      <w:pPr>
        <w:numPr>
          <w:ilvl w:val="0"/>
          <w:numId w:val="1004"/>
        </w:numPr>
        <w:pStyle w:val="Compact"/>
      </w:pPr>
      <w:r>
        <w:t xml:space="preserve">Markers (arrowheads) and gradient/def references from the source are carried</w:t>
      </w:r>
      <w:r>
        <w:t xml:space="preserve"> </w:t>
      </w:r>
      <w:r>
        <w:t xml:space="preserve">over so flow-direction arrows are preserved.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lement-inventory-from-segmentation"/>
    <w:p>
      <w:pPr>
        <w:pStyle w:val="Heading2"/>
      </w:pPr>
      <w:r>
        <w:t xml:space="preserve">4. Element inventory (from segmentation)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QCELL-LB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(221 unique)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(45 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Vacuum barriers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Process-line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A,B,D,E,Water,QINFRA,Air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A,B,D,E,Water,QINFRA,Air</w:t>
            </w:r>
          </w:p>
        </w:tc>
      </w:tr>
    </w:tbl>
    <w:p>
      <w:pPr>
        <w:pStyle w:val="BodyText"/>
      </w:pPr>
      <w:r>
        <w:t xml:space="preserve">Instrument prefixes encountered (ISA-5.1):</w:t>
      </w:r>
      <w:r>
        <w:t xml:space="preserve"> </w:t>
      </w:r>
      <w:r>
        <w:rPr>
          <w:rStyle w:val="VerbatimChar"/>
        </w:rPr>
        <w:t xml:space="preserve">TT, TE, PT, PI, PZ, LT, LS, LI, FT, FI, FZ, EH, SM, RS, AP, AA, AD, ED, CV, HV, SV, RV, PL, KW, AK, MV, HL, HX, CF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limitations-notes"/>
    <w:p>
      <w:pPr>
        <w:pStyle w:val="Heading2"/>
      </w:pPr>
      <w:r>
        <w:t xml:space="preserve">5. Limitations &amp; notes</w:t>
      </w:r>
    </w:p>
    <w:p>
      <w:pPr>
        <w:numPr>
          <w:ilvl w:val="0"/>
          <w:numId w:val="1005"/>
        </w:numPr>
        <w:pStyle w:val="Compact"/>
      </w:pPr>
      <w:r>
        <w:t xml:space="preserve">The source sheets are intentionally</w:t>
      </w:r>
      <w:r>
        <w:t xml:space="preserve"> </w:t>
      </w:r>
      <w:r>
        <w:rPr>
          <w:bCs/>
          <w:b/>
        </w:rPr>
        <w:t xml:space="preserve">very dense</w:t>
      </w:r>
      <w:r>
        <w:t xml:space="preserve">; the rebuild preserves the</w:t>
      </w:r>
      <w:r>
        <w:t xml:space="preserve"> </w:t>
      </w:r>
      <w:r>
        <w:t xml:space="preserve">real topology and instrument positions rather than re-routing pipes, so</w:t>
      </w:r>
      <w:r>
        <w:t xml:space="preserve"> </w:t>
      </w:r>
      <w:r>
        <w:t xml:space="preserve">localised crowding inherent to the originals remains.</w:t>
      </w:r>
    </w:p>
    <w:p>
      <w:pPr>
        <w:numPr>
          <w:ilvl w:val="0"/>
          <w:numId w:val="1005"/>
        </w:numPr>
        <w:pStyle w:val="Compact"/>
      </w:pPr>
      <w:r>
        <w:t xml:space="preserve">Colour-to-class mapping is taken from the drawing legend; a few low-confidence</w:t>
      </w:r>
      <w:r>
        <w:t xml:space="preserve"> </w:t>
      </w:r>
      <w:r>
        <w:t xml:space="preserve">source colours (grey shading, near-black) are treated as structure.</w:t>
      </w:r>
    </w:p>
    <w:p>
      <w:pPr>
        <w:numPr>
          <w:ilvl w:val="0"/>
          <w:numId w:val="1005"/>
        </w:numPr>
        <w:pStyle w:val="Compact"/>
      </w:pPr>
      <w:r>
        <w:t xml:space="preserve">Geometry fidelity is exact (transforms are baked); symbology and styling are</w:t>
      </w:r>
      <w:r>
        <w:t xml:space="preserve"> </w:t>
      </w:r>
      <w:r>
        <w:t xml:space="preserve">the standardised improvement layer.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2026-06-03T15:53:06Z</dcterms:created>
  <dcterms:modified xsi:type="dcterms:W3CDTF">2026-06-03T15:53:06Z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