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scope-boundary-reference"/>
    <w:p>
      <w:pPr>
        <w:pStyle w:val="Heading1"/>
      </w:pPr>
      <w:r>
        <w:t xml:space="preserve">Scope Boundary Reference</w:t>
      </w:r>
    </w:p>
    <w:p>
      <w:pPr>
        <w:pStyle w:val="FirstParagraph"/>
      </w:pPr>
      <w:r>
        <w:t xml:space="preserve">Scope-boundary</w:t>
      </w:r>
      <w:r>
        <w:t xml:space="preserve"> </w:t>
      </w:r>
      <w:r>
        <w:rPr>
          <w:bCs/>
          <w:b/>
        </w:rPr>
        <w:t xml:space="preserve">diamond</w:t>
      </w:r>
      <w:r>
        <w:t xml:space="preserve"> </w:t>
      </w:r>
      <w:r>
        <w:t xml:space="preserve">symbols mark the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last-meter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hand-over</w:t>
      </w:r>
      <w:r>
        <w:t xml:space="preserve"> </w:t>
      </w:r>
      <w:r>
        <w:t xml:space="preserve">between</w:t>
      </w:r>
      <w:r>
        <w:t xml:space="preserve"> </w:t>
      </w:r>
      <w:r>
        <w:rPr>
          <w:bCs/>
          <w:b/>
        </w:rPr>
        <w:t xml:space="preserve">in-scope</w:t>
      </w:r>
      <w:r>
        <w:t xml:space="preserve"> </w:t>
      </w:r>
      <w:r>
        <w:t xml:space="preserve">assets (designed/supplied within the MINERVA CryoCell package) and</w:t>
      </w:r>
      <w:r>
        <w:t xml:space="preserve"> </w:t>
      </w:r>
      <w:r>
        <w:rPr>
          <w:bCs/>
          <w:b/>
        </w:rPr>
        <w:t xml:space="preserve">out-of-scope</w:t>
      </w:r>
      <w:r>
        <w:t xml:space="preserve"> </w:t>
      </w:r>
      <w:r>
        <w:t xml:space="preserve">assets (infrastructure, building services, RF system delivered</w:t>
      </w:r>
      <w:r>
        <w:t xml:space="preserve"> </w:t>
      </w:r>
      <w:r>
        <w:t xml:space="preserve">by others). They appear on</w:t>
      </w:r>
      <w:r>
        <w:t xml:space="preserve"> </w:t>
      </w:r>
      <w:r>
        <w:rPr>
          <w:bCs/>
          <w:b/>
        </w:rPr>
        <w:t xml:space="preserve">Layer 1 — Scope</w:t>
      </w:r>
      <w:r>
        <w:t xml:space="preserve"> </w:t>
      </w:r>
      <w:r>
        <w:t xml:space="preserve">of every sheet, with the</w:t>
      </w:r>
      <w:r>
        <w:t xml:space="preserve"> </w:t>
      </w:r>
      <w:r>
        <w:t xml:space="preserve">hand-over note on</w:t>
      </w:r>
      <w:r>
        <w:t xml:space="preserve"> </w:t>
      </w:r>
      <w:r>
        <w:rPr>
          <w:bCs/>
          <w:b/>
        </w:rPr>
        <w:t xml:space="preserve">Layer 12 — Tags</w:t>
      </w:r>
      <w:r>
        <w:t xml:space="preserve">.</w:t>
      </w:r>
    </w:p>
    <w:bookmarkStart w:id="20" w:name="diamond-code-format-tpxyyyy"/>
    <w:p>
      <w:pPr>
        <w:pStyle w:val="Heading2"/>
      </w:pPr>
      <w:r>
        <w:t xml:space="preserve">1. Diamond code format —</w:t>
      </w:r>
      <w:r>
        <w:t xml:space="preserve"> </w:t>
      </w:r>
      <w:r>
        <w:rPr>
          <w:rStyle w:val="VerbatimChar"/>
        </w:rPr>
        <w:t xml:space="preserve">TPXYYYY</w:t>
      </w:r>
    </w:p>
    <w:p>
      <w:pPr>
        <w:pStyle w:val="SourceCode"/>
      </w:pPr>
      <w:r>
        <w:rPr>
          <w:rStyle w:val="VerbatimChar"/>
        </w:rPr>
        <w:t xml:space="preserve">TP   X      YYYY</w:t>
      </w:r>
      <w:r>
        <w:br/>
      </w:r>
      <w:r>
        <w:rPr>
          <w:rStyle w:val="VerbatimChar"/>
        </w:rPr>
        <w:t xml:space="preserve">│    │      └── 4-digit serial number (0001, 0002, …)</w:t>
      </w:r>
      <w:r>
        <w:br/>
      </w:r>
      <w:r>
        <w:rPr>
          <w:rStyle w:val="VerbatimChar"/>
        </w:rPr>
        <w:t xml:space="preserve">│    └───────── category prefix (one letter, see table below)</w:t>
      </w:r>
      <w:r>
        <w:br/>
      </w:r>
      <w:r>
        <w:rPr>
          <w:rStyle w:val="VerbatimChar"/>
        </w:rPr>
        <w:t xml:space="preserve">└────────────── "TP" = Terminal Point / scope interface</w:t>
      </w:r>
    </w:p>
    <w:bookmarkEnd w:id="20"/>
    <w:bookmarkStart w:id="21" w:name="category-prefixes"/>
    <w:p>
      <w:pPr>
        <w:pStyle w:val="Heading2"/>
      </w:pPr>
      <w:r>
        <w:t xml:space="preserve">2. Category prefixes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Prefix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Typical media / service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Bulk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Bulk gas / cryogen supply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Cryogenic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circuits (2 K / 4.5 K / 40 K), guard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Electrical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Heater power, electrical feedthroughs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HVAC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Vacuum / venting / ventilation, relief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Liquid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Liquid level / liquid services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Steam / hot utilities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 cooling water, FREIA water</w:t>
            </w:r>
          </w:p>
        </w:tc>
      </w:tr>
    </w:tbl>
    <w:p>
      <w:pPr>
        <w:pStyle w:val="BodyText"/>
      </w:pPr>
      <w:r>
        <w:t xml:space="preserve">The category is assigned automatically from the</w:t>
      </w:r>
      <w:r>
        <w:t xml:space="preserve"> </w:t>
      </w:r>
      <w:r>
        <w:rPr>
          <w:bCs/>
          <w:b/>
        </w:rPr>
        <w:t xml:space="preserve">function of the nearest</w:t>
      </w:r>
      <w:r>
        <w:rPr>
          <w:bCs/>
          <w:b/>
        </w:rPr>
        <w:t xml:space="preserve"> </w:t>
      </w:r>
      <w:r>
        <w:rPr>
          <w:bCs/>
          <w:b/>
        </w:rPr>
        <w:t xml:space="preserve">instrument</w:t>
      </w:r>
      <w:r>
        <w:t xml:space="preserve"> </w:t>
      </w:r>
      <w:r>
        <w:t xml:space="preserve">at each terminal point (e.g. a point next to an electric heater →</w:t>
      </w:r>
      <w:r>
        <w:t xml:space="preserve"> </w:t>
      </w:r>
      <w:r>
        <w:rPr>
          <w:rStyle w:val="VerbatimChar"/>
        </w:rPr>
        <w:t xml:space="preserve">E</w:t>
      </w:r>
      <w:r>
        <w:t xml:space="preserve">, next to a level switch →</w:t>
      </w:r>
      <w:r>
        <w:t xml:space="preserve"> </w:t>
      </w:r>
      <w:r>
        <w:rPr>
          <w:rStyle w:val="VerbatimChar"/>
        </w:rPr>
        <w:t xml:space="preserve">L</w:t>
      </w:r>
      <w:r>
        <w:t xml:space="preserve">, next to a relief/vacuum device →</w:t>
      </w:r>
      <w:r>
        <w:t xml:space="preserve"> </w:t>
      </w:r>
      <w:r>
        <w:rPr>
          <w:rStyle w:val="VerbatimChar"/>
        </w:rPr>
        <w:t xml:space="preserve">H</w:t>
      </w:r>
      <w:r>
        <w:t xml:space="preserve">).</w:t>
      </w:r>
    </w:p>
    <w:bookmarkEnd w:id="21"/>
    <w:bookmarkStart w:id="22" w:name="in-scope-vs-out-of-scope-convention"/>
    <w:p>
      <w:pPr>
        <w:pStyle w:val="Heading2"/>
      </w:pPr>
      <w:r>
        <w:t xml:space="preserve">3. In-scope vs out-of-scope convention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Inside</w:t>
      </w:r>
      <w:r>
        <w:t xml:space="preserve"> </w:t>
      </w:r>
      <w:r>
        <w:t xml:space="preserve">the diamond ring → in-scope (MINERVA CryoCell).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Outside</w:t>
      </w:r>
      <w:r>
        <w:t xml:space="preserve"> </w:t>
      </w:r>
      <w:r>
        <w:t xml:space="preserve">the diamond ring → out-of-scope (delivered/maintained by others).</w:t>
      </w:r>
    </w:p>
    <w:p>
      <w:pPr>
        <w:numPr>
          <w:ilvl w:val="0"/>
          <w:numId w:val="1001"/>
        </w:numPr>
        <w:pStyle w:val="Compact"/>
      </w:pPr>
      <w:r>
        <w:t xml:space="preserve">The diamond is the single contractual/physical interface — the</w:t>
      </w:r>
      <w:r>
        <w:t xml:space="preserve"> </w:t>
      </w:r>
      <w:r>
        <w:t xml:space="preserve">“</w:t>
      </w:r>
      <w:r>
        <w:t xml:space="preserve">last meter</w:t>
      </w:r>
      <w:r>
        <w:t xml:space="preserve">”</w:t>
      </w:r>
      <w:r>
        <w:t xml:space="preserve"> </w:t>
      </w:r>
      <w:r>
        <w:t xml:space="preserve">of pipe/cable on the in-scope side terminates at the diamond.</w:t>
      </w:r>
    </w:p>
    <w:bookmarkEnd w:id="22"/>
    <w:bookmarkStart w:id="23" w:name="terminal-point-register-qcell-lb"/>
    <w:p>
      <w:pPr>
        <w:pStyle w:val="Heading2"/>
      </w:pPr>
      <w:r>
        <w:t xml:space="preserve">4. Terminal-point register (QCELL / LB)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Category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 layer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TPC0001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Cryogenic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Terminal points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TPC0002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Cryogenic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Terminal points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TPH0003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HVAC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Terminal points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TPC0004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Cryogenic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Terminal points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TPC0005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Cryogenic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Terminal points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TPC0006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Cryogenic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Terminal points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TPE0007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Electrical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Terminal points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TPC0008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Cryogenic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Terminal points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TPC0009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Cryogenic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Terminal points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TPE0010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Electrical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Terminal points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TPE0011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Electrical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Terminal points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TPC0012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Cryogenic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Terminal points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TPC0013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Cryogenic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Terminal points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TPC0014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Cryogenic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Terminal points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TPC0015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Cryogenic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Terminal points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TPE0016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Electrical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Terminal points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TPE0017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Electrical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Terminal points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TPC0018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Cryogenic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Terminal points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TPC0019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Cryogenic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Terminal points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TPC0020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Cryogenic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Terminal points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TPL0021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Liquid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Terminal points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TPL0022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Liquid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Terminal points</w:t>
            </w:r>
          </w:p>
        </w:tc>
      </w:tr>
    </w:tbl>
    <w:p>
      <w:pPr>
        <w:pStyle w:val="BlockText"/>
      </w:pPr>
      <w:r>
        <w:t xml:space="preserve">RFCELL terminal points are not individually tagged in the source extract;</w:t>
      </w:r>
      <w:r>
        <w:t xml:space="preserve"> </w:t>
      </w:r>
      <w:r>
        <w:t xml:space="preserve">RFCELL scope hand-over is represented by the same diamond convention where</w:t>
      </w:r>
      <w:r>
        <w:t xml:space="preserve"> </w:t>
      </w:r>
      <w:r>
        <w:t xml:space="preserve">coupler/water interfaces leave the cell.</w:t>
      </w:r>
    </w:p>
    <w:bookmarkEnd w:id="23"/>
    <w:bookmarkStart w:id="24" w:name="machine-readable"/>
    <w:p>
      <w:pPr>
        <w:pStyle w:val="Heading2"/>
      </w:pPr>
      <w:r>
        <w:t xml:space="preserve">5. Machine-readable</w:t>
      </w:r>
    </w:p>
    <w:p>
      <w:pPr>
        <w:pStyle w:val="FirstParagraph"/>
      </w:pPr>
      <w:r>
        <w:t xml:space="preserve">The full code list (per drawing) is stored in</w:t>
      </w:r>
      <w:r>
        <w:t xml:space="preserve"> </w:t>
      </w:r>
      <w:r>
        <w:rPr>
          <w:rStyle w:val="VerbatimChar"/>
        </w:rPr>
        <w:t xml:space="preserve">_build_meta.json</w:t>
      </w:r>
      <w:r>
        <w:t xml:space="preserve"> </w:t>
      </w:r>
      <w:r>
        <w:t xml:space="preserve">under</w:t>
      </w:r>
      <w:r>
        <w:t xml:space="preserve"> </w:t>
      </w:r>
      <w:r>
        <w:rPr>
          <w:rStyle w:val="VerbatimChar"/>
        </w:rPr>
        <w:t xml:space="preserve">scope_codes</w:t>
      </w:r>
      <w:r>
        <w:t xml:space="preserve">.</w:t>
      </w:r>
    </w:p>
    <w:bookmarkEnd w:id="24"/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2026-06-03T16:31:14Z</dcterms:created>
  <dcterms:modified xsi:type="dcterms:W3CDTF">2026-06-03T16:31:14Z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