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bef20e738959324fc50d489f0c86c204a7f18f"/>
    <w:p>
      <w:pPr>
        <w:pStyle w:val="Heading1"/>
      </w:pPr>
      <w:r>
        <w:t xml:space="preserve">Phase 1 — Reference P&amp;ID Analysis (AD_01.10 / 11 / 14 / 17)</w:t>
      </w:r>
    </w:p>
    <w:p>
      <w:pPr>
        <w:pStyle w:val="FirstParagraph"/>
      </w:pPr>
      <w:r>
        <w:t xml:space="preserve">Extracted best-practice conventions from the SCK CEN / Mott MacDonald example</w:t>
      </w:r>
      <w:r>
        <w:t xml:space="preserve"> </w:t>
      </w:r>
      <w:r>
        <w:t xml:space="preserve">drawings to drive the v4 refinement.</w:t>
      </w:r>
    </w:p>
    <w:bookmarkStart w:id="20" w:name="source-drawings-reviewed"/>
    <w:p>
      <w:pPr>
        <w:pStyle w:val="Heading2"/>
      </w:pPr>
      <w:r>
        <w:t xml:space="preserve">Source drawings reviewed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AD_01.10 P&amp;ID PCW (TP2=PS01.PAB12)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Cooling Water P&amp;ID (2 sheets: notes + diagram)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A4/A3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AD_01.11 P&amp;ID Instrument Air (TP2=PS01.QFB10)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Instrument-air P&amp;ID (3 sheets)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A4/A3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AD_01.14 Piping Layout - Instrument Air (PS05.QFB10)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Piping GA /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AD_01.17 Instrument Air - Piping Routing &amp;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</w:t>
            </w:r>
          </w:p>
        </w:tc>
      </w:tr>
    </w:tbl>
    <w:bookmarkEnd w:id="20"/>
    <w:bookmarkStart w:id="21" w:name="terminal-point-tp-placement-key-finding"/>
    <w:p>
      <w:pPr>
        <w:pStyle w:val="Heading2"/>
      </w:pPr>
      <w:r>
        <w:t xml:space="preserve">1. Terminal-point (TP) placement — KEY FINDING</w:t>
      </w:r>
    </w:p>
    <w:p>
      <w:pPr>
        <w:pStyle w:val="FirstParagraph"/>
      </w:pPr>
      <w:r>
        <w:t xml:space="preserve">Terminal points sit</w:t>
      </w:r>
      <w:r>
        <w:t xml:space="preserve"> </w:t>
      </w:r>
      <w:r>
        <w:rPr>
          <w:bCs/>
          <w:b/>
        </w:rPr>
        <w:t xml:space="preserve">at the left and right page edges</w:t>
      </w:r>
      <w:r>
        <w:t xml:space="preserve"> </w:t>
      </w:r>
      <w:r>
        <w:t xml:space="preserve">(and occasionally</w:t>
      </w:r>
      <w:r>
        <w:t xml:space="preserve"> </w:t>
      </w:r>
      <w:r>
        <w:t xml:space="preserve">top/bottom for vertical flows). Each TP is a small</w:t>
      </w:r>
      <w:r>
        <w:t xml:space="preserve"> </w:t>
      </w:r>
      <w:r>
        <w:rPr>
          <w:iCs/>
          <w:i/>
        </w:rPr>
        <w:t xml:space="preserve">assembly</w:t>
      </w:r>
      <w:r>
        <w:t xml:space="preserve">, not a bare diamond: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┌───────────────────────────┐  ← scalloped "cloud" callout</w:t>
      </w:r>
      <w:r>
        <w:br/>
      </w:r>
      <w:r>
        <w:rPr>
          <w:rStyle w:val="VerbatimChar"/>
        </w:rPr>
        <w:t xml:space="preserve">   │        WATER GLYCOL        │     · system / medium name (top line)</w:t>
      </w:r>
      <w:r>
        <w:br/>
      </w:r>
      <w:r>
        <w:rPr>
          <w:rStyle w:val="VerbatimChar"/>
        </w:rPr>
        <w:t xml:space="preserve">   │  ◁ =NP.PS01_PFB503 │ 7884 │     · arrow box: destination DWG ref + line no.</w:t>
      </w:r>
      <w:r>
        <w:br/>
      </w:r>
      <w:r>
        <w:rPr>
          <w:rStyle w:val="VerbatimChar"/>
        </w:rPr>
        <w:t xml:space="preserve">   │   FROM MAC (WEST GALLERY) │     · TO/FROM &lt;area&gt; annotation (bottom line)</w:t>
      </w:r>
      <w:r>
        <w:br/>
      </w:r>
      <w:r>
        <w:rPr>
          <w:rStyle w:val="VerbatimChar"/>
        </w:rPr>
        <w:t xml:space="preserve">   └───────────────────────────┘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◇ TP.PS01.4002          ← TP diamond w/ TP code + category flag (△B) + NOTE ref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──────┘ (pipe continues into / out of the drawing)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Arrow direction encodes flow</w:t>
      </w:r>
      <w:r>
        <w:t xml:space="preserve">: left-pointing arrow = incoming (</w:t>
      </w:r>
      <w:r>
        <w:rPr>
          <w:rStyle w:val="VerbatimChar"/>
        </w:rPr>
        <w:t xml:space="preserve">FROM</w:t>
      </w:r>
      <w:r>
        <w:t xml:space="preserve">),</w:t>
      </w:r>
      <w:r>
        <w:t xml:space="preserve"> </w:t>
      </w:r>
      <w:r>
        <w:t xml:space="preserve">right-pointing = outgoing (</w:t>
      </w:r>
      <w:r>
        <w:rPr>
          <w:rStyle w:val="VerbatimChar"/>
        </w:rPr>
        <w:t xml:space="preserve">TO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The pipe</w:t>
      </w:r>
      <w:r>
        <w:t xml:space="preserve"> </w:t>
      </w:r>
      <w:r>
        <w:rPr>
          <w:bCs/>
          <w:b/>
        </w:rPr>
        <w:t xml:space="preserve">runs to the frame border</w:t>
      </w:r>
      <w:r>
        <w:t xml:space="preserve"> </w:t>
      </w:r>
      <w:r>
        <w:t xml:space="preserve">with a short connection stub.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FROM SHEET 2 / TO SHEET 2</w:t>
      </w:r>
      <w:r>
        <w:t xml:space="preserve">”</w:t>
      </w:r>
      <w:r>
        <w:t xml:space="preserve"> </w:t>
      </w:r>
      <w:r>
        <w:t xml:space="preserve">clouds appear at the</w:t>
      </w:r>
      <w:r>
        <w:t xml:space="preserve"> </w:t>
      </w:r>
      <w:r>
        <w:rPr>
          <w:bCs/>
          <w:b/>
        </w:rPr>
        <w:t xml:space="preserve">bottom edge</w:t>
      </w:r>
      <w:r>
        <w:t xml:space="preserve"> </w:t>
      </w:r>
      <w:r>
        <w:t xml:space="preserve">for</w:t>
      </w:r>
      <w:r>
        <w:t xml:space="preserve"> </w:t>
      </w:r>
      <w:r>
        <w:t xml:space="preserve">inter-sheet continuation.</w:t>
      </w:r>
    </w:p>
    <w:p>
      <w:pPr>
        <w:numPr>
          <w:ilvl w:val="0"/>
          <w:numId w:val="1001"/>
        </w:numPr>
        <w:pStyle w:val="Compact"/>
      </w:pPr>
      <w:r>
        <w:t xml:space="preserve">Each TP carries a</w:t>
      </w:r>
      <w:r>
        <w:t xml:space="preserve"> </w:t>
      </w:r>
      <w:r>
        <w:rPr>
          <w:bCs/>
          <w:b/>
        </w:rPr>
        <w:t xml:space="preserve">category triangle</w:t>
      </w:r>
      <w:r>
        <w:t xml:space="preserve"> </w:t>
      </w:r>
      <w:r>
        <w:t xml:space="preserve">(△B etc.) and a</w:t>
      </w:r>
      <w:r>
        <w:t xml:space="preserve"> </w:t>
      </w:r>
      <w:r>
        <w:rPr>
          <w:bCs/>
          <w:b/>
        </w:rPr>
        <w:t xml:space="preserve">NOTE n</w:t>
      </w:r>
      <w:r>
        <w:t xml:space="preserve"> </w:t>
      </w:r>
      <w:r>
        <w:t xml:space="preserve">reference.</w:t>
      </w:r>
    </w:p>
    <w:bookmarkEnd w:id="21"/>
    <w:bookmarkStart w:id="22" w:name="line-naming-strategy"/>
    <w:p>
      <w:pPr>
        <w:pStyle w:val="Heading2"/>
      </w:pPr>
      <w:r>
        <w:t xml:space="preserve">2. Line naming strategy</w:t>
      </w:r>
    </w:p>
    <w:p>
      <w:pPr>
        <w:pStyle w:val="FirstParagraph"/>
      </w:pPr>
      <w:r>
        <w:t xml:space="preserve">Lines are labelled</w:t>
      </w:r>
      <w:r>
        <w:t xml:space="preserve"> </w:t>
      </w:r>
      <w:r>
        <w:rPr>
          <w:bCs/>
          <w:b/>
        </w:rPr>
        <w:t xml:space="preserve">inline, sitting on the pipe</w:t>
      </w:r>
      <w:r>
        <w:t xml:space="preserve"> </w:t>
      </w:r>
      <w:r>
        <w:t xml:space="preserve">in a small white gap:</w:t>
      </w:r>
      <w:r>
        <w:t xml:space="preserve"> </w:t>
      </w:r>
      <w:r>
        <w:rPr>
          <w:rStyle w:val="VerbatimChar"/>
        </w:rPr>
        <w:t xml:space="preserve">BR0021-4"-PAC1-BA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line-number – size – fluid/spec-class – insulation/route code</w:t>
      </w:r>
      <w:r>
        <w:t xml:space="preserve">.</w:t>
      </w:r>
      <w:r>
        <w:t xml:space="preserve"> </w:t>
      </w:r>
      <w:r>
        <w:t xml:space="preserve">Labels repeat along long runs and at every branch. This is the mechanism the</w:t>
      </w:r>
      <w:r>
        <w:t xml:space="preserve"> </w:t>
      </w:r>
      <w:r>
        <w:t xml:space="preserve">reference uses to keep a</w:t>
      </w:r>
      <w:r>
        <w:t xml:space="preserve"> </w:t>
      </w:r>
      <w:r>
        <w:rPr>
          <w:bCs/>
          <w:b/>
        </w:rPr>
        <w:t xml:space="preserve">monochrome</w:t>
      </w:r>
      <w:r>
        <w:t xml:space="preserve"> </w:t>
      </w:r>
      <w:r>
        <w:t xml:space="preserve">drawing readable — the</w:t>
      </w:r>
      <w:r>
        <w:t xml:space="preserve"> </w:t>
      </w:r>
      <w:r>
        <w:rPr>
          <w:bCs/>
          <w:b/>
        </w:rPr>
        <w:t xml:space="preserve">name on the</w:t>
      </w:r>
      <w:r>
        <w:rPr>
          <w:bCs/>
          <w:b/>
        </w:rPr>
        <w:t xml:space="preserve"> </w:t>
      </w:r>
      <w:r>
        <w:rPr>
          <w:bCs/>
          <w:b/>
        </w:rPr>
        <w:t xml:space="preserve">line</w:t>
      </w:r>
      <w:r>
        <w:t xml:space="preserve">, not colour, is the primary identifier.</w:t>
      </w:r>
    </w:p>
    <w:bookmarkEnd w:id="22"/>
    <w:bookmarkStart w:id="23" w:name="white-boxes-for-tags"/>
    <w:p>
      <w:pPr>
        <w:pStyle w:val="Heading2"/>
      </w:pPr>
      <w:r>
        <w:t xml:space="preserve">3. White boxes for tags</w:t>
      </w:r>
    </w:p>
    <w:p>
      <w:pPr>
        <w:pStyle w:val="FirstParagraph"/>
      </w:pPr>
      <w:r>
        <w:t xml:space="preserve">Every instrument / valve tag (e.g. </w:t>
      </w:r>
      <w:r>
        <w:rPr>
          <w:rStyle w:val="VerbatimChar"/>
        </w:rPr>
        <w:t xml:space="preserve">AA0019</w:t>
      </w:r>
      <w:r>
        <w:t xml:space="preserve">,</w:t>
      </w:r>
      <w:r>
        <w:t xml:space="preserve"> </w:t>
      </w:r>
      <w:r>
        <w:rPr>
          <w:rStyle w:val="VerbatimChar"/>
        </w:rPr>
        <w:t xml:space="preserve">AA3001 / MOV-03</w:t>
      </w:r>
      <w:r>
        <w:t xml:space="preserve">) sits in a small</w:t>
      </w:r>
      <w:r>
        <w:t xml:space="preserve"> </w:t>
      </w:r>
      <w:r>
        <w:rPr>
          <w:bCs/>
          <w:b/>
        </w:rPr>
        <w:t xml:space="preserve">white rectangle</w:t>
      </w:r>
      <w:r>
        <w:t xml:space="preserve"> </w:t>
      </w:r>
      <w:r>
        <w:t xml:space="preserve">so it never collides with piping behind it. Tag boxes are</w:t>
      </w:r>
      <w:r>
        <w:t xml:space="preserve"> </w:t>
      </w:r>
      <w:r>
        <w:t xml:space="preserve">opaque white with a hairline border and live on the topmost layer.</w:t>
      </w:r>
    </w:p>
    <w:bookmarkEnd w:id="23"/>
    <w:bookmarkStart w:id="24" w:name="valve-orientation"/>
    <w:p>
      <w:pPr>
        <w:pStyle w:val="Heading2"/>
      </w:pPr>
      <w:r>
        <w:t xml:space="preserve">4. Valve orientation</w:t>
      </w:r>
    </w:p>
    <w:p>
      <w:pPr>
        <w:numPr>
          <w:ilvl w:val="0"/>
          <w:numId w:val="1002"/>
        </w:numPr>
        <w:pStyle w:val="Compact"/>
      </w:pPr>
      <w:r>
        <w:t xml:space="preserve">Valves are drawn</w:t>
      </w:r>
      <w:r>
        <w:t xml:space="preserve"> </w:t>
      </w:r>
      <w:r>
        <w:rPr>
          <w:bCs/>
          <w:b/>
        </w:rPr>
        <w:t xml:space="preserve">in-line</w:t>
      </w:r>
      <w:r>
        <w:t xml:space="preserve"> </w:t>
      </w:r>
      <w:r>
        <w:t xml:space="preserve">with the pipe (gate-valve bow-tie), white-filled</w:t>
      </w:r>
      <w:r>
        <w:t xml:space="preserve"> </w:t>
      </w:r>
      <w:r>
        <w:t xml:space="preserve">with a black outline so they read clearly where they cross a coloured/black line.</w:t>
      </w:r>
    </w:p>
    <w:p>
      <w:pPr>
        <w:numPr>
          <w:ilvl w:val="0"/>
          <w:numId w:val="1002"/>
        </w:numPr>
        <w:pStyle w:val="Compact"/>
      </w:pPr>
      <w:r>
        <w:t xml:space="preserve">Actuated valves (</w:t>
      </w:r>
      <w:r>
        <w:rPr>
          <w:rStyle w:val="VerbatimChar"/>
        </w:rPr>
        <w:t xml:space="preserve">MOV</w:t>
      </w:r>
      <w:r>
        <w:t xml:space="preserve">, control) add the actuator glyph above the body.</w:t>
      </w:r>
    </w:p>
    <w:p>
      <w:pPr>
        <w:numPr>
          <w:ilvl w:val="0"/>
          <w:numId w:val="1002"/>
        </w:numPr>
        <w:pStyle w:val="Compact"/>
      </w:pPr>
      <w:r>
        <w:t xml:space="preserve">Tags are placed in white boxes directly</w:t>
      </w:r>
      <w: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the valve.</w:t>
      </w:r>
    </w:p>
    <w:bookmarkEnd w:id="24"/>
    <w:bookmarkStart w:id="25" w:name="other-conventions-adopted"/>
    <w:p>
      <w:pPr>
        <w:pStyle w:val="Heading2"/>
      </w:pPr>
      <w:r>
        <w:t xml:space="preserve">5. Other conventions adopted</w:t>
      </w:r>
    </w:p>
    <w:p>
      <w:pPr>
        <w:numPr>
          <w:ilvl w:val="0"/>
          <w:numId w:val="1003"/>
        </w:numPr>
        <w:pStyle w:val="Compact"/>
      </w:pPr>
      <w:r>
        <w:t xml:space="preserve">Scalloped</w:t>
      </w:r>
      <w:r>
        <w:t xml:space="preserve"> </w:t>
      </w:r>
      <w:r>
        <w:t xml:space="preserve">“</w:t>
      </w:r>
      <w:r>
        <w:t xml:space="preserve">cloud</w:t>
      </w:r>
      <w:r>
        <w:t xml:space="preserve">”</w:t>
      </w:r>
      <w:r>
        <w:t xml:space="preserve"> </w:t>
      </w:r>
      <w:r>
        <w:t xml:space="preserve">callouts for off-sheet/area references.</w:t>
      </w:r>
    </w:p>
    <w:p>
      <w:pPr>
        <w:numPr>
          <w:ilvl w:val="0"/>
          <w:numId w:val="1003"/>
        </w:numPr>
        <w:pStyle w:val="Compact"/>
      </w:pPr>
      <w:r>
        <w:t xml:space="preserve">Category triangles (△B/C/E/…) used as note + scope flags.</w:t>
      </w:r>
    </w:p>
    <w:p>
      <w:pPr>
        <w:numPr>
          <w:ilvl w:val="0"/>
          <w:numId w:val="1003"/>
        </w:numPr>
        <w:pStyle w:val="Compact"/>
      </w:pPr>
      <w:r>
        <w:t xml:space="preserve">Reference-drawings list and a</w:t>
      </w:r>
      <w:r>
        <w:t xml:space="preserve"> </w:t>
      </w:r>
      <w:r>
        <w:t xml:space="preserve">“</w:t>
      </w:r>
      <w:r>
        <w:t xml:space="preserve">Key to symbols</w:t>
      </w:r>
      <w:r>
        <w:t xml:space="preserve">”</w:t>
      </w:r>
      <w:r>
        <w:t xml:space="preserve"> </w:t>
      </w:r>
      <w:r>
        <w:t xml:space="preserve">cell in the title strip.</w:t>
      </w:r>
    </w:p>
    <w:p>
      <w:pPr>
        <w:numPr>
          <w:ilvl w:val="0"/>
          <w:numId w:val="1003"/>
        </w:numPr>
        <w:pStyle w:val="Compact"/>
      </w:pPr>
      <w:r>
        <w:t xml:space="preserve">Branch take-offs carry their own line number.</w:t>
      </w:r>
    </w:p>
    <w:bookmarkEnd w:id="25"/>
    <w:bookmarkStart w:id="26" w:name="how-v4-applies-these"/>
    <w:p>
      <w:pPr>
        <w:pStyle w:val="Heading2"/>
      </w:pPr>
      <w:r>
        <w:t xml:space="preserve">How v4 applies these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 at L/R edges with cloud + diamond + arrow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terminal_point_edge()</w:t>
            </w:r>
            <w:r>
              <w:t xml:space="preserve"> </w:t>
            </w:r>
            <w:r>
              <w:t xml:space="preserve">on layer</w:t>
            </w:r>
            <w:r>
              <w:t xml:space="preserve"> </w:t>
            </w:r>
            <w:r>
              <w:rPr>
                <w:rStyle w:val="VerbatimChar"/>
              </w:rPr>
              <w:t xml:space="preserve">02_TerminalPoints_EDGE</w:t>
            </w:r>
            <w:r>
              <w:t xml:space="preserve">; stacked along frame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line names (mono legibility)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layer</w:t>
            </w:r>
            <w:r>
              <w:t xml:space="preserve"> </w:t>
            </w:r>
            <w:r>
              <w:rPr>
                <w:rStyle w:val="VerbatimChar"/>
              </w:rPr>
              <w:t xml:space="preserve">04C_Piping_LINENAMES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line_label()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tag boxes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tag_with_box()</w:t>
            </w:r>
            <w:r>
              <w:t xml:space="preserve">; instrument/valve tags on</w:t>
            </w:r>
            <w:r>
              <w:t xml:space="preserve"> </w:t>
            </w:r>
            <w:r>
              <w:rPr>
                <w:rStyle w:val="VerbatimChar"/>
              </w:rPr>
              <w:t xml:space="preserve">12_Tags_Instruments</w:t>
            </w:r>
            <w:r>
              <w:t xml:space="preserve"> </w:t>
            </w:r>
            <w:r>
              <w:t xml:space="preserve">(front)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In-line + control-view valves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in-line valves +</w:t>
            </w:r>
            <w:r>
              <w:t xml:space="preserve"> </w:t>
            </w:r>
            <w:r>
              <w:rPr>
                <w:rStyle w:val="VerbatimChar"/>
              </w:rPr>
              <w:t xml:space="preserve">08B_Valves_HORIZONTAL_OVERLAY</w:t>
            </w:r>
            <w:r>
              <w:t xml:space="preserve"> </w:t>
            </w:r>
            <w:r>
              <w:t xml:space="preserve">tracked-asset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Flow-direction arrows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arrow heads in TP assemblies (TO/FROM)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2026-06-03T19:44:11Z</dcterms:created>
  <dcterms:modified xsi:type="dcterms:W3CDTF">2026-06-03T19:44:11Z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