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2ba3d8795a3294fca5eb6049e16b2b63061410"/>
    <w:p>
      <w:pPr>
        <w:pStyle w:val="Heading1"/>
      </w:pPr>
      <w:r>
        <w:t xml:space="preserve">MINERVA CryoCell — P&amp;ID v2 Drawing Set Index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— SCK CEN</w:t>
      </w:r>
      <w:r>
        <w:t xml:space="preserve"> </w:t>
      </w:r>
      <w:r>
        <w:rPr>
          <w:bCs/>
          <w:b/>
        </w:rPr>
        <w:t xml:space="preserve">Drawing No.:</w:t>
      </w:r>
      <w:r>
        <w:t xml:space="preserve"> </w:t>
      </w:r>
      <w:r>
        <w:t xml:space="preserve">SCK CEN/84836013</w:t>
      </w:r>
      <w:r>
        <w:t xml:space="preserve"> </w:t>
      </w:r>
      <w:r>
        <w:rPr>
          <w:bCs/>
          <w:b/>
        </w:rPr>
        <w:t xml:space="preserve">Sheet size:</w:t>
      </w:r>
      <w:r>
        <w:t xml:space="preserve"> </w:t>
      </w:r>
      <w:r>
        <w:t xml:space="preserve">A3 landscape (420 × 297 mm)</w:t>
      </w:r>
      <w:r>
        <w:t xml:space="preserve"> </w:t>
      </w:r>
      <w:r>
        <w:rPr>
          <w:bCs/>
          <w:b/>
        </w:rPr>
        <w:t xml:space="preserve">Standards basis:</w:t>
      </w:r>
      <w:r>
        <w:t xml:space="preserve"> </w:t>
      </w:r>
      <w:r>
        <w:t xml:space="preserve">ANSI/ISA-5.1-2022, ISO 10628, IEC 60617, SCK CEN tag scheme</w:t>
      </w:r>
      <w:r>
        <w:t xml:space="preserve"> </w:t>
      </w:r>
      <w:r>
        <w:rPr>
          <w:rStyle w:val="VerbatimChar"/>
        </w:rPr>
        <w:t xml:space="preserve">W-X:Y-Z-1</w:t>
      </w:r>
    </w:p>
    <w:p>
      <w:r>
        <w:pict>
          <v:rect style="width:0;height:1.5pt" o:hralign="center" o:hrstd="t" o:hr="t"/>
        </w:pict>
      </w:r>
    </w:p>
    <w:bookmarkStart w:id="20" w:name="drawing-split"/>
    <w:p>
      <w:pPr>
        <w:pStyle w:val="Heading2"/>
      </w:pPr>
      <w:r>
        <w:t xml:space="preserve">1. Drawing split</w:t>
      </w:r>
    </w:p>
    <w:p>
      <w:pPr>
        <w:pStyle w:val="FirstParagraph"/>
      </w:pPr>
      <w:r>
        <w:t xml:space="preserve">The two original source drawings were each split into</w:t>
      </w:r>
      <w:r>
        <w:t xml:space="preserve"> </w:t>
      </w:r>
      <w:r>
        <w:rPr>
          <w:bCs/>
          <w:b/>
        </w:rPr>
        <w:t xml:space="preserve">two focused sheets</w:t>
      </w:r>
      <w:r>
        <w:t xml:space="preserve"> </w:t>
      </w:r>
      <w:r>
        <w:t xml:space="preserve">to</w:t>
      </w:r>
      <w:r>
        <w:t xml:space="preserve"> </w:t>
      </w:r>
      <w:r>
        <w:t xml:space="preserve">improve readability. Each sheet is delivered in</w:t>
      </w:r>
      <w:r>
        <w:t xml:space="preserve"> </w:t>
      </w:r>
      <w:r>
        <w:rPr>
          <w:bCs/>
          <w:b/>
        </w:rPr>
        <w:t xml:space="preserve">two style versions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QCELL /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1 — 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 / 4.5 K / 2 K circuits + heat exchangers, vessels, valves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QCELL /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2 — 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Sensors, control loops, DIS interlock,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RFCELL (seen by ACR)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1 —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DI-water / coupler process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RFCELL (seen by ACR)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2 — 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Sensors, control loops, DIS interlock, signals</w:t>
            </w:r>
          </w:p>
        </w:tc>
      </w:tr>
    </w:tbl>
    <w:bookmarkEnd w:id="20"/>
    <w:bookmarkStart w:id="21" w:name="style-versions"/>
    <w:p>
      <w:pPr>
        <w:pStyle w:val="Heading2"/>
      </w:pPr>
      <w:r>
        <w:t xml:space="preserve">2. Style versions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45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Filename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—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Balanced, full colour. Process lines primary (1.0 mm), equipment secondary (0.7 mm), bubbles 2 mm, signals 0.25 mm, tags 2.5 mm.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— Control-Centric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_CONTROL-CENTRIC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 emphasised. Process de-emphasised to grayscale (0.5 mm), equipment background (0.35 mm), bubbles 3 mm, signals colour 0.5 mm, tags 3.5 mm.</w:t>
            </w:r>
          </w:p>
        </w:tc>
      </w:tr>
    </w:tbl>
    <w:p>
      <w:pPr>
        <w:pStyle w:val="BlockText"/>
      </w:pPr>
      <w:r>
        <w:t xml:space="preserve">Bubble diameters were scaled up from the 2 mm / 3 mm nominal to keep two-line</w:t>
      </w:r>
      <w:r>
        <w:t xml:space="preserve"> </w:t>
      </w:r>
      <w:r>
        <w:t xml:space="preserve">ISA tags legible at the drawing’s information density, while preserving the</w:t>
      </w:r>
      <w:r>
        <w:t xml:space="preserve"> </w:t>
      </w:r>
      <w:r>
        <w:t xml:space="preserve">A &gt; B emphasis relationship exactly.</w:t>
      </w:r>
    </w:p>
    <w:bookmarkEnd w:id="21"/>
    <w:bookmarkStart w:id="24" w:name="file-manifest-8-svg-8-pdf-16-files"/>
    <w:p>
      <w:pPr>
        <w:pStyle w:val="Heading2"/>
      </w:pPr>
      <w:r>
        <w:t xml:space="preserve">3. File manifest (8 SVG + 8 PDF = 16 files)</w:t>
      </w:r>
    </w:p>
    <w:bookmarkStart w:id="22" w:name="output_v2qcell"/>
    <w:p>
      <w:pPr>
        <w:pStyle w:val="Heading3"/>
      </w:pPr>
      <w:r>
        <w:t xml:space="preserve">output_v2/QCELL/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QCELL-Sheet1-Cryogenic_STANDARD.svg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QCELL-Sheet1-Cryogenic_CONTROL-CENTRIC.svg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QCELL-Sheet2-Instrumentation_STANDARD.svg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QCELL-Sheet2-Instrumentation_CONTROL-CENTRIC.svg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</w:p>
    <w:bookmarkEnd w:id="22"/>
    <w:bookmarkStart w:id="23" w:name="output_v2rfcell"/>
    <w:p>
      <w:pPr>
        <w:pStyle w:val="Heading3"/>
      </w:pPr>
      <w:r>
        <w:t xml:space="preserve">output_v2/RFCELL/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RFCELL-Sheet1-Process_STANDARD.svg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RFCELL-Sheet1-Process_CONTROL-CENTRIC.svg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RFCELL-Sheet2-Instrumentation_STANDARD.svg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RFCELL-Sheet2-Instrumentation_CONTROL-CENTRIC.svg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</w:p>
    <w:bookmarkEnd w:id="23"/>
    <w:bookmarkEnd w:id="24"/>
    <w:bookmarkStart w:id="25" w:name="companion-documentation"/>
    <w:p>
      <w:pPr>
        <w:pStyle w:val="Heading2"/>
      </w:pPr>
      <w:r>
        <w:t xml:space="preserve">4. Companion documentation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01_LAYER_STRUCTURE_GUIDE.md</w:t>
      </w:r>
      <w:r>
        <w:t xml:space="preserve"> </w:t>
      </w:r>
      <w:r>
        <w:t xml:space="preserve">— the 14-layer toggleable hierarchy.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02_SENSOR_REALLOCATION.md</w:t>
      </w:r>
      <w:r>
        <w:t xml:space="preserve"> </w:t>
      </w:r>
      <w:r>
        <w:t xml:space="preserve">— sensor re-allocation mapping.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03_SCOPE_BOUNDARY_REFERENCE.md</w:t>
      </w:r>
      <w:r>
        <w:t xml:space="preserve"> </w:t>
      </w:r>
      <w:r>
        <w:t xml:space="preserve">— TPXYYYY scope-boundary reference table.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_build_meta.json</w:t>
      </w:r>
      <w:r>
        <w:t xml:space="preserve"> </w:t>
      </w:r>
      <w:r>
        <w:t xml:space="preserve">— machine-readable build metadata (re-allocations, scope codes).</w:t>
      </w:r>
    </w:p>
    <w:bookmarkEnd w:id="25"/>
    <w:bookmarkStart w:id="26" w:name="regeneration"/>
    <w:p>
      <w:pPr>
        <w:pStyle w:val="Heading2"/>
      </w:pPr>
      <w:r>
        <w:t xml:space="preserve">5. Regeneration</w:t>
      </w:r>
    </w:p>
    <w:p>
      <w:pPr>
        <w:pStyle w:val="SourceCode"/>
      </w:pPr>
      <w:r>
        <w:rPr>
          <w:rStyle w:val="VerbatimChar"/>
        </w:rPr>
        <w:t xml:space="preserve">cd generator &amp;&amp; python3 build_pid_v2.py          # writes the 8 SVGs</w:t>
      </w:r>
      <w:r>
        <w:br/>
      </w:r>
      <w:r>
        <w:rPr>
          <w:rStyle w:val="VerbatimChar"/>
        </w:rPr>
        <w:t xml:space="preserve">python3 -c "import cairosvg,glob; [cairosvg.svg2pdf(url=f,write_to=f[:-4]+'.pdf') for f in glob.glob('../output_v2/*/*.svg')]"</w:t>
      </w:r>
    </w:p>
    <w:p>
      <w:pPr>
        <w:pStyle w:val="FirstParagraph"/>
      </w:pPr>
      <w:r>
        <w:t xml:space="preserve">All geometry is reproduced from the structured segmentation data and the</w:t>
      </w:r>
      <w:r>
        <w:t xml:space="preserve"> </w:t>
      </w:r>
      <w:r>
        <w:t xml:space="preserve">extracted symbol library; nothing is hand-placed bitmap.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2026-06-03T16:28:56Z</dcterms:created>
  <dcterms:modified xsi:type="dcterms:W3CDTF">2026-06-03T16:28:56Z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