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9c107be81f69f454eb0d41cbdafd0d2e5c55bb"/>
    <w:p>
      <w:pPr>
        <w:pStyle w:val="Heading1"/>
      </w:pPr>
      <w:r>
        <w:t xml:space="preserve">P&amp;ID SVG Inventory &amp; Initial Analysis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— Flow Schemes and Instrumentation (P&amp;ID reproduction to ISO / ISA 5.1)</w:t>
      </w:r>
      <w:r>
        <w:t xml:space="preserve"> </w:t>
      </w:r>
      <w:r>
        <w:rPr>
          <w:bCs/>
          <w:b/>
        </w:rPr>
        <w:t xml:space="preserve">Generated:</w:t>
      </w:r>
      <w:r>
        <w:t xml:space="preserve"> </w:t>
      </w:r>
      <w:r>
        <w:t xml:space="preserve">2026-06-03</w:t>
      </w:r>
      <w:r>
        <w:t xml:space="preserve"> </w:t>
      </w:r>
      <w:r>
        <w:rPr>
          <w:bCs/>
          <w:b/>
        </w:rPr>
        <w:t xml:space="preserve">Source archives: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02 - Flow schemes and Instrumentation.zip</w:t>
      </w:r>
      <w:r>
        <w:t xml:space="preserve"> </w:t>
      </w:r>
      <w:r>
        <w:t xml:space="preserve">(≈ 0.97 MB)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02 - Flow schemes and Instrumentation_Master.zip</w:t>
      </w:r>
      <w:r>
        <w:t xml:space="preserve"> </w:t>
      </w:r>
      <w:r>
        <w:t xml:space="preserve">(≈ 72.6 MB)</w:t>
      </w:r>
    </w:p>
    <w:p>
      <w:r>
        <w:pict>
          <v:rect style="width:0;height:1.5pt" o:hralign="center" o:hrstd="t" o:hr="t"/>
        </w:pict>
      </w:r>
    </w:p>
    <w:bookmarkStart w:id="22" w:name="extraction-summary"/>
    <w:p>
      <w:pPr>
        <w:pStyle w:val="Heading2"/>
      </w:pPr>
      <w:r>
        <w:t xml:space="preserve">1. Extraction Summary</w:t>
      </w:r>
    </w:p>
    <w:p>
      <w:pPr>
        <w:pStyle w:val="FirstParagraph"/>
      </w:pPr>
      <w:r>
        <w:t xml:space="preserve">Both archives were unzipped into organized directories:</w:t>
      </w:r>
    </w:p>
    <w:p>
      <w:pPr>
        <w:pStyle w:val="SourceCode"/>
      </w:pPr>
      <w:r>
        <w:rPr>
          <w:rStyle w:val="VerbatimChar"/>
        </w:rPr>
        <w:t xml:space="preserve">/home/ubuntu/pid_project/</w:t>
      </w:r>
      <w:r>
        <w:br/>
      </w:r>
      <w:r>
        <w:rPr>
          <w:rStyle w:val="VerbatimChar"/>
        </w:rPr>
        <w:t xml:space="preserve">├── extracted/</w:t>
      </w:r>
      <w:r>
        <w:br/>
      </w:r>
      <w:r>
        <w:rPr>
          <w:rStyle w:val="VerbatimChar"/>
        </w:rPr>
        <w:t xml:space="preserve">│   ├── standard/        # contents of "02 - Flow schemes and Instrumentation.zip"</w:t>
      </w:r>
      <w:r>
        <w:br/>
      </w:r>
      <w:r>
        <w:rPr>
          <w:rStyle w:val="VerbatimChar"/>
        </w:rPr>
        <w:t xml:space="preserve">│   └── master/          # contents of "...Instrumentation_Master.zip"</w:t>
      </w:r>
      <w:r>
        <w:br/>
      </w:r>
      <w:r>
        <w:rPr>
          <w:rStyle w:val="VerbatimChar"/>
        </w:rPr>
        <w:t xml:space="preserve">├── svg_source/          # de-duplicated working copies of the 2 unique SVGs</w:t>
      </w:r>
      <w:r>
        <w:br/>
      </w:r>
      <w:r>
        <w:rPr>
          <w:rStyle w:val="VerbatimChar"/>
        </w:rPr>
        <w:t xml:space="preserve">├── previews/            # rendered PNG previews of each SVG</w:t>
      </w:r>
      <w:r>
        <w:br/>
      </w:r>
      <w:r>
        <w:rPr>
          <w:rStyle w:val="VerbatimChar"/>
        </w:rPr>
        <w:t xml:space="preserve">├── analyze_svg.py       # analysis script</w:t>
      </w:r>
      <w:r>
        <w:br/>
      </w:r>
      <w:r>
        <w:rPr>
          <w:rStyle w:val="VerbatimChar"/>
        </w:rPr>
        <w:t xml:space="preserve">└── svg_inventory.md     # this report</w:t>
      </w:r>
    </w:p>
    <w:bookmarkStart w:id="20" w:name="archive-contents"/>
    <w:p>
      <w:pPr>
        <w:pStyle w:val="Heading3"/>
      </w:pPr>
      <w:r>
        <w:t xml:space="preserve">Archive contents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1800"/>
        <w:gridCol w:w="18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standard.zip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master.zip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PFD-PID MINERVA QCELL-LB.svg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SVG (P&amp;ID)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PFD-PID MINERVA RFCELL seen by ACR.svg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SVG (P&amp;ID)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MANIFEST_02 - Flow schemes and Instrumentation.html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 Nomenclature MINERVA CryoCell (QCELL-LB).xlsx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nomenclature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QCELL - Auxilliary lines (NA.CP).xlsx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line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2024-03-07 - Brainstorming QM instrumentation and controls.pptx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PFD-PID of RFCELL - MASTER.pptx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Source/master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 MINERVA CryoCell (QCELL-LB).pptx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QSYS (and RFCELL) instrumentation location for LB and LBI.pptx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(65 MB)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two SVG files are byte-for-byte identical across both archives (verified by MD5).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_Master.zip</w:t>
      </w:r>
      <w:r>
        <w:t xml:space="preserve"> </w:t>
      </w:r>
      <w:r>
        <w:t xml:space="preserve">additionally contains the editable PowerPoint sources and supporting Excel</w:t>
      </w:r>
      <w:r>
        <w:t xml:space="preserve"> </w:t>
      </w:r>
      <w:r>
        <w:t xml:space="preserve">nomenclature/auxiliary-line lists, which will be valuable references for the standards-compliant</w:t>
      </w:r>
      <w:r>
        <w:t xml:space="preserve"> </w:t>
      </w:r>
      <w:r>
        <w:t xml:space="preserve">reproduction.</w:t>
      </w:r>
    </w:p>
    <w:bookmarkEnd w:id="20"/>
    <w:bookmarkStart w:id="21" w:name="unique-svg-files-found-2"/>
    <w:p>
      <w:pPr>
        <w:pStyle w:val="Heading3"/>
      </w:pPr>
      <w:r>
        <w:t xml:space="preserve">Unique SVG files found:</w:t>
      </w:r>
      <w:r>
        <w:t xml:space="preserve"> </w:t>
      </w:r>
      <w:r>
        <w:rPr>
          <w:bCs/>
          <w:b/>
        </w:rPr>
        <w:t xml:space="preserve">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3484"/>
        <w:gridCol w:w="158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PFD-PID MINERVA QCELL-LB.svg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788e30df…99e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PFD-PID MINERVA RFCELL seen by ACR.svg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d7fc4243…99b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svg-1-pfd-pid-minerva-qcell-lb.svg"/>
    <w:p>
      <w:pPr>
        <w:pStyle w:val="Heading2"/>
      </w:pPr>
      <w:r>
        <w:t xml:space="preserve">2. SVG #1 —</w:t>
      </w:r>
      <w:r>
        <w:t xml:space="preserve"> </w:t>
      </w:r>
      <w:r>
        <w:rPr>
          <w:rStyle w:val="VerbatimChar"/>
        </w:rPr>
        <w:t xml:space="preserve">PFD-PID MINERVA QCELL-LB.svg</w:t>
      </w:r>
    </w:p>
    <w:p>
      <w:pPr>
        <w:pStyle w:val="FirstParagraph"/>
      </w:pPr>
      <w:r>
        <w:t xml:space="preserve">The primary, most detailed P&amp;ID — the full QCELL / CryoCell cryogenic flow scheme with complete instrumentation.</w:t>
      </w:r>
    </w:p>
    <w:p>
      <w:pPr>
        <w:pStyle w:val="BodyText"/>
      </w:pPr>
      <w:r>
        <w:t xml:space="preserve">QCELL-LB preview</w:t>
      </w:r>
    </w:p>
    <w:bookmarkStart w:id="23" w:name="document-properties"/>
    <w:p>
      <w:pPr>
        <w:pStyle w:val="Heading3"/>
      </w:pPr>
      <w:r>
        <w:t xml:space="preserve">Document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docname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PFD_MINERVA_QCELL-LB.svg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Inkscape 1.4 (2024-10-11)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0 0 1527.2727 1080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420 mm × 297 mm</w:t>
            </w:r>
            <w:r>
              <w:t xml:space="preserve"> </w:t>
            </w:r>
            <w:r>
              <w:t xml:space="preserve">(ISO</w:t>
            </w:r>
            <w:r>
              <w:t xml:space="preserve"> </w:t>
            </w:r>
            <w:r>
              <w:rPr>
                <w:bCs/>
                <w:b/>
              </w:rPr>
              <w:t xml:space="preserve">A3</w:t>
            </w:r>
            <w:r>
              <w:t xml:space="preserve">, landscape)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 MB</w:t>
            </w:r>
          </w:p>
        </w:tc>
      </w:tr>
    </w:tbl>
    <w:bookmarkEnd w:id="23"/>
    <w:bookmarkStart w:id="24" w:name="structure-element-counts"/>
    <w:p>
      <w:pPr>
        <w:pStyle w:val="Heading3"/>
      </w:pPr>
      <w:r>
        <w:t xml:space="preserve">Structure &amp; element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elements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3,463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(groups)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marker</w:t>
            </w:r>
            <w:r>
              <w:t xml:space="preserve"> </w:t>
            </w:r>
            <w:r>
              <w:t xml:space="preserve">(arrow/line-end defs)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ellipse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 (instrument bubbles)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(raster insets)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clipPath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5</w:t>
            </w:r>
          </w:p>
        </w:tc>
      </w:tr>
    </w:tbl>
    <w:bookmarkEnd w:id="24"/>
    <w:bookmarkStart w:id="25" w:name="X1d6537c4f6ec3568f13fac4dd339b61622280e2"/>
    <w:p>
      <w:pPr>
        <w:pStyle w:val="Heading3"/>
      </w:pPr>
      <w:r>
        <w:t xml:space="preserve">Inkscape layers —</w:t>
      </w:r>
      <w:r>
        <w:t xml:space="preserve"> </w:t>
      </w:r>
      <w:r>
        <w:rPr>
          <w:bCs/>
          <w:b/>
        </w:rPr>
        <w:t xml:space="preserve">63 layers</w:t>
      </w:r>
      <w:r>
        <w:t xml:space="preserve"> </w:t>
      </w:r>
      <w:r>
        <w:t xml:space="preserve">(rich semantic segmentation already present)</w:t>
      </w:r>
    </w:p>
    <w:p>
      <w:pPr>
        <w:pStyle w:val="FirstParagraph"/>
      </w:pPr>
      <w:r>
        <w:t xml:space="preserve">The drawing is heavily layered. Key layer groups relevant to the segmentation goal: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 / piping:</w:t>
      </w:r>
      <w:r>
        <w:t xml:space="preserve"> </w:t>
      </w:r>
      <w:r>
        <w:rPr>
          <w:rStyle w:val="VerbatimChar"/>
        </w:rPr>
        <w:t xml:space="preserve">Piping and series instrumentation</w:t>
      </w:r>
      <w:r>
        <w:t xml:space="preserve"> </w:t>
      </w:r>
      <w:r>
        <w:t xml:space="preserve">(×3),</w:t>
      </w:r>
      <w:r>
        <w:t xml:space="preserve"> </w:t>
      </w:r>
      <w:r>
        <w:rPr>
          <w:rStyle w:val="VerbatimChar"/>
        </w:rPr>
        <w:t xml:space="preserve">Piping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 line and 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6 - Main process line return + buffer tank (V)</w:t>
      </w:r>
      <w:r>
        <w:t xml:space="preserve">,</w:t>
      </w:r>
      <w:r>
        <w:t xml:space="preserve"> </w:t>
      </w:r>
      <w:r>
        <w:rPr>
          <w:rStyle w:val="VerbatimChar"/>
        </w:rPr>
        <w:t xml:space="preserve">5 - Main process line inlet + buffer tank (L)</w:t>
      </w:r>
      <w:r>
        <w:t xml:space="preserve">,</w:t>
      </w:r>
      <w:r>
        <w:t xml:space="preserve"> </w:t>
      </w:r>
      <w:r>
        <w:rPr>
          <w:rStyle w:val="VerbatimChar"/>
        </w:rPr>
        <w:t xml:space="preserve">4 - Coupler B intercept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3 - Coupler A intercept + common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Items / components:</w:t>
      </w:r>
      <w:r>
        <w:t xml:space="preserve"> </w:t>
      </w:r>
      <w:r>
        <w:rPr>
          <w:rStyle w:val="VerbatimChar"/>
        </w:rPr>
        <w:t xml:space="preserve">Vacuum vessel</w:t>
      </w:r>
      <w:r>
        <w:t xml:space="preserve"> </w:t>
      </w:r>
      <w:r>
        <w:t xml:space="preserve">(×3),</w:t>
      </w:r>
      <w:r>
        <w:t xml:space="preserve"> </w:t>
      </w:r>
      <w:r>
        <w:rPr>
          <w:rStyle w:val="VerbatimChar"/>
        </w:rPr>
        <w:t xml:space="preserve">2 K tank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 1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 2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 circuit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 cuff and port metal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 pressure limiter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 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Spare heaters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Flowmeter for AL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Headers A B C 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Instrumentation:</w:t>
      </w:r>
      <w:r>
        <w:t xml:space="preserve"> </w:t>
      </w:r>
      <w:r>
        <w:rPr>
          <w:rStyle w:val="VerbatimChar"/>
        </w:rPr>
        <w:t xml:space="preserve">Instrumentation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Over-instrumentalization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Instrumentation Pcav Observer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Instrumentation naming zones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EH TT</w:t>
      </w:r>
      <w:r>
        <w:t xml:space="preserve">,</w:t>
      </w:r>
      <w:r>
        <w:t xml:space="preserve"> </w:t>
      </w:r>
      <w:r>
        <w:rPr>
          <w:rStyle w:val="VerbatimChar"/>
        </w:rPr>
        <w:t xml:space="preserve">EHTT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Sub-systems / zones:</w:t>
      </w:r>
      <w:r>
        <w:t xml:space="preserve"> </w:t>
      </w:r>
      <w:r>
        <w:rPr>
          <w:rStyle w:val="VerbatimChar"/>
        </w:rPr>
        <w:t xml:space="preserve">RFCELL 1</w:t>
      </w:r>
      <w:r>
        <w:t xml:space="preserve">,</w:t>
      </w:r>
      <w:r>
        <w:t xml:space="preserve"> </w:t>
      </w:r>
      <w:r>
        <w:rPr>
          <w:rStyle w:val="VerbatimChar"/>
        </w:rPr>
        <w:t xml:space="preserve">RFCELL 2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INVAC</w:t>
      </w:r>
      <w:r>
        <w:t xml:space="preserve"> </w:t>
      </w:r>
      <w:r>
        <w:t xml:space="preserve">(×3),</w:t>
      </w:r>
      <w:r>
        <w:t xml:space="preserve"> </w:t>
      </w:r>
      <w:r>
        <w:rPr>
          <w:rStyle w:val="VerbatimChar"/>
        </w:rPr>
        <w:t xml:space="preserve">QVB</w:t>
      </w:r>
      <w:r>
        <w:t xml:space="preserve">,</w:t>
      </w:r>
      <w:r>
        <w:t xml:space="preserve"> </w:t>
      </w:r>
      <w:r>
        <w:rPr>
          <w:rStyle w:val="VerbatimChar"/>
        </w:rPr>
        <w:t xml:space="preserve">QINFRA</w:t>
      </w:r>
      <w:r>
        <w:t xml:space="preserve">,</w:t>
      </w:r>
      <w:r>
        <w:t xml:space="preserve"> </w:t>
      </w:r>
      <w:r>
        <w:rPr>
          <w:rStyle w:val="VerbatimChar"/>
        </w:rPr>
        <w:t xml:space="preserve">QM - DUT at FREIA</w:t>
      </w:r>
      <w:r>
        <w:t xml:space="preserve">,</w:t>
      </w:r>
      <w:r>
        <w:t xml:space="preserve"> </w:t>
      </w:r>
      <w:r>
        <w:rPr>
          <w:rStyle w:val="VerbatimChar"/>
        </w:rPr>
        <w:t xml:space="preserve">QM - PeMo</w:t>
      </w:r>
      <w:r>
        <w:t xml:space="preserve">,</w:t>
      </w:r>
      <w:r>
        <w:t xml:space="preserve"> </w:t>
      </w:r>
      <w:r>
        <w:rPr>
          <w:rStyle w:val="VerbatimChar"/>
        </w:rPr>
        <w:t xml:space="preserve">He guard</w:t>
      </w:r>
      <w:r>
        <w:t xml:space="preserve"> </w:t>
      </w:r>
      <w:r>
        <w:t xml:space="preserve">(×2),</w:t>
      </w:r>
      <w:r>
        <w:t xml:space="preserve"> </w:t>
      </w:r>
      <w:r>
        <w:rPr>
          <w:rStyle w:val="VerbatimChar"/>
        </w:rPr>
        <w:t xml:space="preserve">PeMo-HEGU1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Instrument air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Utilities NA.PS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Annotation:</w:t>
      </w:r>
      <w:r>
        <w:t xml:space="preserve"> </w:t>
      </w:r>
      <w:r>
        <w:rPr>
          <w:rStyle w:val="VerbatimChar"/>
        </w:rPr>
        <w:t xml:space="preserve">Namings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Naming and conditions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(×2),</w:t>
      </w:r>
      <w:r>
        <w:t xml:space="preserve"> </w:t>
      </w:r>
      <w:r>
        <w:rPr>
          <w:rStyle w:val="VerbatimChar"/>
        </w:rPr>
        <w:t xml:space="preserve">General 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Heat loads</w:t>
      </w:r>
      <w:r>
        <w:t xml:space="preserve"> </w:t>
      </w:r>
      <w:r>
        <w:t xml:space="preserve">(×2),</w:t>
      </w:r>
      <w:r>
        <w:t xml:space="preserve"> </w:t>
      </w:r>
      <w:r>
        <w:rPr>
          <w:rStyle w:val="VerbatimChar"/>
        </w:rPr>
        <w:t xml:space="preserve">Terminal 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 division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pn levels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TC-LB</w:t>
      </w:r>
    </w:p>
    <w:bookmarkEnd w:id="25"/>
    <w:bookmarkStart w:id="26" w:name="text-labels-tags"/>
    <w:p>
      <w:pPr>
        <w:pStyle w:val="Heading3"/>
      </w:pPr>
      <w:r>
        <w:t xml:space="preserve">Text / labels / tags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566 text strings</w:t>
      </w:r>
      <w:r>
        <w:t xml:space="preserve"> </w:t>
      </w:r>
      <w:r>
        <w:t xml:space="preserve">present (labels, tags, notes, legend).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203 unique ISA-style instrument tags.</w:t>
      </w:r>
      <w:r>
        <w:t xml:space="preserve"> </w:t>
      </w:r>
      <w:r>
        <w:t xml:space="preserve">Tag-prefix histogram: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(ISA 5.1)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Transmitter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Load annotation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Heater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Switch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Valve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Valve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Transmitter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/ Solenoid Valve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(CF-flange callouts)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Transmitter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Transmitter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Limiter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Analysis/Alarm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Relief Valve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Exchanger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Sample component / equipment labels:</w:t>
      </w:r>
      <w:r>
        <w:t xml:space="preserve"> </w:t>
      </w:r>
      <w:r>
        <w:rPr>
          <w:rStyle w:val="VerbatimChar"/>
        </w:rPr>
        <w:t xml:space="preserve">CAV.1</w:t>
      </w:r>
      <w:r>
        <w:t xml:space="preserve">,</w:t>
      </w:r>
      <w:r>
        <w:t xml:space="preserve"> </w:t>
      </w:r>
      <w:r>
        <w:rPr>
          <w:rStyle w:val="VerbatimChar"/>
        </w:rPr>
        <w:t xml:space="preserve">CAV.2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CPLR.1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CPLR.2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CPLR.A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CPLR.B</w:t>
      </w:r>
      <w:r>
        <w:t xml:space="preserve">,</w:t>
      </w:r>
      <w:r>
        <w:t xml:space="preserve"> </w:t>
      </w:r>
      <w:r>
        <w:rPr>
          <w:rStyle w:val="VerbatimChar"/>
        </w:rPr>
        <w:t xml:space="preserve">HX550</w:t>
      </w:r>
      <w:r>
        <w:t xml:space="preserve">,</w:t>
      </w:r>
      <w:r>
        <w:t xml:space="preserve"> </w:t>
      </w:r>
      <w:r>
        <w:rPr>
          <w:rStyle w:val="VerbatimChar"/>
        </w:rPr>
        <w:t xml:space="preserve">V501</w:t>
      </w:r>
      <w:r>
        <w:t xml:space="preserve">,</w:t>
      </w:r>
      <w:r>
        <w:t xml:space="preserve"> </w:t>
      </w:r>
      <w:r>
        <w:rPr>
          <w:rStyle w:val="VerbatimChar"/>
        </w:rPr>
        <w:t xml:space="preserve">V502</w:t>
      </w:r>
      <w:r>
        <w:t xml:space="preserve">,</w:t>
      </w:r>
      <w:r>
        <w:t xml:space="preserve"> </w:t>
      </w:r>
      <w:r>
        <w:rPr>
          <w:rStyle w:val="VerbatimChar"/>
        </w:rPr>
        <w:t xml:space="preserve">TUN.A/B</w:t>
      </w:r>
      <w:r>
        <w:t xml:space="preserve">,</w:t>
      </w:r>
      <w:r>
        <w:t xml:space="preserve"> </w:t>
      </w:r>
      <w:r>
        <w:rPr>
          <w:rStyle w:val="VerbatimChar"/>
        </w:rPr>
        <w:t xml:space="preserve">RAD</w:t>
      </w:r>
      <w:r>
        <w:t xml:space="preserve">,</w:t>
      </w:r>
      <w:r>
        <w:t xml:space="preserve"> </w:t>
      </w:r>
      <w:r>
        <w:rPr>
          <w:rStyle w:val="VerbatimChar"/>
        </w:rPr>
        <w:t xml:space="preserve">CWT.A/B</w:t>
      </w:r>
      <w:r>
        <w:t xml:space="preserve">,</w:t>
      </w:r>
      <w:r>
        <w:t xml:space="preserve"> </w:t>
      </w:r>
      <w:r>
        <w:rPr>
          <w:rStyle w:val="VerbatimChar"/>
        </w:rPr>
        <w:t xml:space="preserve">K1</w:t>
      </w:r>
      <w:r>
        <w:t xml:space="preserve">,</w:t>
      </w:r>
      <w:r>
        <w:t xml:space="preserve"> </w:t>
      </w:r>
      <w:r>
        <w:rPr>
          <w:rStyle w:val="VerbatimChar"/>
        </w:rPr>
        <w:t xml:space="preserve">K2</w:t>
      </w:r>
      <w:r>
        <w:t xml:space="preserve">,</w:t>
      </w:r>
      <w:r>
        <w:t xml:space="preserve"> </w:t>
      </w:r>
      <w:r>
        <w:rPr>
          <w:rStyle w:val="VerbatimChar"/>
        </w:rPr>
        <w:t xml:space="preserve">MV1</w:t>
      </w:r>
      <w:r>
        <w:t xml:space="preserve">,</w:t>
      </w:r>
      <w:r>
        <w:t xml:space="preserve"> </w:t>
      </w:r>
      <w:r>
        <w:rPr>
          <w:rStyle w:val="VerbatimChar"/>
        </w:rPr>
        <w:t xml:space="preserve">MV2</w:t>
      </w:r>
      <w:r>
        <w:t xml:space="preserve">.</w:t>
      </w:r>
    </w:p>
    <w:bookmarkEnd w:id="26"/>
    <w:bookmarkStart w:id="27" w:name="X6bda9943ea54878ddbff3c27be63fe14d34ac51"/>
    <w:p>
      <w:pPr>
        <w:pStyle w:val="Heading3"/>
      </w:pPr>
      <w:r>
        <w:t xml:space="preserve">Color palette —</w:t>
      </w:r>
      <w:r>
        <w:t xml:space="preserve"> </w:t>
      </w:r>
      <w:r>
        <w:rPr>
          <w:bCs/>
          <w:b/>
        </w:rPr>
        <w:t xml:space="preserve">67 unique hex colors</w:t>
      </w:r>
      <w:r>
        <w:t xml:space="preserve"> </w:t>
      </w:r>
      <w:r>
        <w:t xml:space="preserve">(process-line color coding present)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1164"/>
        <w:gridCol w:w="1397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⬛ 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Outlines, generic structure,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🟦 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line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(4.5 K; 3 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🟥 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line</w:t>
            </w:r>
            <w:r>
              <w:t xml:space="preserve"> </w:t>
            </w: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(40 K; 14 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🟩 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#00ff00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Coupler water / utility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🟦 Cyan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#00ffff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line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(3.5 K; 27 mbar)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🫒 Olive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#808000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He-guard header (292 K; 1.15 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🟪 Magenta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#ff00ff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 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grey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Text/strokes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grey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#f2f2f2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#999999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#808080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 / 73 / 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Devices-under-vacuum, shading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Dark 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 scope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#ffaaaa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#d35f5f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/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RFCELL instrumentation bubbles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#ffcc00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#f37f35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/ heat</w:t>
            </w:r>
          </w:p>
        </w:tc>
      </w:tr>
    </w:tbl>
    <w:p>
      <w:pPr>
        <w:pStyle w:val="BlockText"/>
      </w:pPr>
      <w:r>
        <w:t xml:space="preserve">The legend in the drawing explicitly defines line classes</w:t>
      </w:r>
      <w:r>
        <w:t xml:space="preserve"> </w:t>
      </w:r>
      <w:r>
        <w:rPr>
          <w:bCs/>
          <w:b/>
        </w:rPr>
        <w:t xml:space="preserve">A 4.5 K/3 bar, B 3.5 K/27 mbar,</w:t>
      </w:r>
      <w:r>
        <w:rPr>
          <w:bCs/>
          <w:b/>
        </w:rPr>
        <w:t xml:space="preserve"> </w:t>
      </w:r>
      <w:r>
        <w:rPr>
          <w:bCs/>
          <w:b/>
        </w:rPr>
        <w:t xml:space="preserve">D 40 K/14 bar, E 60 K/13 bar</w:t>
      </w:r>
      <w:r>
        <w:t xml:space="preserve">, plus instrument-class fills (LB CRYO, RFCELL, LBI-specific,</w:t>
      </w:r>
      <w:r>
        <w:t xml:space="preserve"> </w:t>
      </w:r>
      <w:r>
        <w:t xml:space="preserve">Protection) and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vacuum barrier</w:t>
      </w:r>
      <w:r>
        <w:rPr>
          <w:bCs/>
          <w:b/>
        </w:rPr>
        <w:t xml:space="preserve">”</w:t>
      </w:r>
      <w:r>
        <w:t xml:space="preserve"> </w:t>
      </w:r>
      <w:r>
        <w:t xml:space="preserve">dashed boundary — directly matching the requested</w:t>
      </w:r>
      <w:r>
        <w:t xml:space="preserve"> </w:t>
      </w:r>
      <w:r>
        <w:t xml:space="preserve">segmentation axes.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c65dda66b1104161ad4f90cbb28002d178fc911"/>
    <w:p>
      <w:pPr>
        <w:pStyle w:val="Heading2"/>
      </w:pPr>
      <w:r>
        <w:t xml:space="preserve">3. SVG #2 —</w:t>
      </w:r>
      <w:r>
        <w:t xml:space="preserve"> </w:t>
      </w:r>
      <w:r>
        <w:rPr>
          <w:rStyle w:val="VerbatimChar"/>
        </w:rPr>
        <w:t xml:space="preserve">PFD-PID MINERVA RFCELL seen by ACR.svg</w:t>
      </w:r>
    </w:p>
    <w:p>
      <w:pPr>
        <w:pStyle w:val="FirstParagraph"/>
      </w:pPr>
      <w:r>
        <w:t xml:space="preserve">A focused P&amp;ID of the RFCELL water-flow / coupler module (</w:t>
      </w:r>
      <w:r>
        <w:t xml:space="preserve">“</w:t>
      </w:r>
      <w:r>
        <w:t xml:space="preserve">as seen by ACR</w:t>
      </w:r>
      <w:r>
        <w:t xml:space="preserve">”</w:t>
      </w:r>
      <w:r>
        <w:t xml:space="preserve">), including the</w:t>
      </w:r>
      <w:r>
        <w:t xml:space="preserve"> </w:t>
      </w:r>
      <w:r>
        <w:t xml:space="preserve">DI-water module for FREIA and the cavity/coupler detail.</w:t>
      </w:r>
    </w:p>
    <w:p>
      <w:pPr>
        <w:pStyle w:val="BodyText"/>
      </w:pPr>
      <w:r>
        <w:t xml:space="preserve">RFCELL preview</w:t>
      </w:r>
    </w:p>
    <w:bookmarkStart w:id="29" w:name="document-properties-1"/>
    <w:p>
      <w:pPr>
        <w:pStyle w:val="Heading3"/>
      </w:pPr>
      <w:r>
        <w:t xml:space="preserve">Document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docname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PID MINERVA RFCELL seen by ACR.svg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SCK CEN / 84836013 (v.1.3 — May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Inkscape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0 0 1527.2727 1080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420 mm × 297 mm</w:t>
            </w:r>
            <w:r>
              <w:t xml:space="preserve"> </w:t>
            </w:r>
            <w:r>
              <w:t xml:space="preserve">(ISO</w:t>
            </w:r>
            <w:r>
              <w:t xml:space="preserve"> </w:t>
            </w:r>
            <w:r>
              <w:rPr>
                <w:bCs/>
                <w:b/>
              </w:rPr>
              <w:t xml:space="preserve">A3</w:t>
            </w:r>
            <w:r>
              <w:t xml:space="preserve">, landscape)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 MB</w:t>
            </w:r>
          </w:p>
        </w:tc>
      </w:tr>
    </w:tbl>
    <w:bookmarkEnd w:id="29"/>
    <w:bookmarkStart w:id="30" w:name="structure-element-counts-1"/>
    <w:p>
      <w:pPr>
        <w:pStyle w:val="Heading3"/>
      </w:pPr>
      <w:r>
        <w:t xml:space="preserve">Structure &amp; element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elements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(groups)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ellipse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(instrument bubbles)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clipPath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9</w:t>
            </w:r>
          </w:p>
        </w:tc>
      </w:tr>
    </w:tbl>
    <w:bookmarkEnd w:id="30"/>
    <w:bookmarkStart w:id="31" w:name="inkscape-layers-25-layers"/>
    <w:p>
      <w:pPr>
        <w:pStyle w:val="Heading3"/>
      </w:pPr>
      <w:r>
        <w:t xml:space="preserve">Inkscape layers —</w:t>
      </w:r>
      <w:r>
        <w:t xml:space="preserve"> </w:t>
      </w:r>
      <w:r>
        <w:rPr>
          <w:bCs/>
          <w:b/>
        </w:rPr>
        <w:t xml:space="preserve">25 layers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Components:</w:t>
      </w:r>
      <w:r>
        <w:t xml:space="preserve"> </w:t>
      </w:r>
      <w:r>
        <w:rPr>
          <w:rStyle w:val="VerbatimChar"/>
        </w:rPr>
        <w:t xml:space="preserve">CPLR A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 B</w:t>
      </w:r>
      <w:r>
        <w:t xml:space="preserve">,</w:t>
      </w:r>
      <w:r>
        <w:t xml:space="preserve"> </w:t>
      </w:r>
      <w:r>
        <w:rPr>
          <w:rStyle w:val="VerbatimChar"/>
        </w:rPr>
        <w:t xml:space="preserve">Tee A</w:t>
      </w:r>
      <w:r>
        <w:t xml:space="preserve">,</w:t>
      </w:r>
      <w:r>
        <w:t xml:space="preserve"> </w:t>
      </w:r>
      <w:r>
        <w:rPr>
          <w:rStyle w:val="VerbatimChar"/>
        </w:rPr>
        <w:t xml:space="preserve">Tee B</w:t>
      </w:r>
      <w:r>
        <w:t xml:space="preserve">,</w:t>
      </w:r>
      <w:r>
        <w:t xml:space="preserve"> </w:t>
      </w:r>
      <w:r>
        <w:rPr>
          <w:rStyle w:val="VerbatimChar"/>
        </w:rPr>
        <w:t xml:space="preserve">coldmasses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CAV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 water loops</w:t>
      </w:r>
      <w:r>
        <w:t xml:space="preserve">,</w:t>
      </w:r>
      <w:r>
        <w:t xml:space="preserve"> </w:t>
      </w:r>
      <w:r>
        <w:rPr>
          <w:rStyle w:val="VerbatimChar"/>
        </w:rPr>
        <w:t xml:space="preserve">CPLR flange heater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Tubes for FREIA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 pipes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Piping/process:</w:t>
      </w:r>
      <w:r>
        <w:t xml:space="preserve"> </w:t>
      </w:r>
      <w:r>
        <w:rPr>
          <w:rStyle w:val="VerbatimChar"/>
        </w:rPr>
        <w:t xml:space="preserve">RFCELL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RF tee anti-freeze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 pipes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Instrumentation:</w:t>
      </w:r>
      <w:r>
        <w:t xml:space="preserve"> </w:t>
      </w:r>
      <w:r>
        <w:rPr>
          <w:rStyle w:val="VerbatimChar"/>
        </w:rPr>
        <w:t xml:space="preserve">Instrumentation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EH TT</w:t>
      </w:r>
      <w:r>
        <w:t xml:space="preserve"> </w:t>
      </w:r>
      <w:r>
        <w:t xml:space="preserve">(×2),</w:t>
      </w:r>
      <w:r>
        <w:t xml:space="preserve"> </w:t>
      </w:r>
      <w:r>
        <w:rPr>
          <w:rStyle w:val="VerbatimChar"/>
        </w:rPr>
        <w:t xml:space="preserve">CPLR AD, ED, PT</w:t>
      </w:r>
      <w:r>
        <w:t xml:space="preserve">,</w:t>
      </w:r>
      <w:r>
        <w:t xml:space="preserve"> </w:t>
      </w:r>
      <w:r>
        <w:rPr>
          <w:rStyle w:val="VerbatimChar"/>
        </w:rPr>
        <w:t xml:space="preserve">RF Tee monitoring (FREIA)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Zones/annotation: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TUN</w:t>
      </w:r>
      <w:r>
        <w:t xml:space="preserve">,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</w:p>
    <w:bookmarkEnd w:id="31"/>
    <w:bookmarkStart w:id="32" w:name="text-labels-tags-1"/>
    <w:p>
      <w:pPr>
        <w:pStyle w:val="Heading3"/>
      </w:pPr>
      <w:r>
        <w:t xml:space="preserve">Text / labels / tags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128 text strings</w:t>
      </w:r>
      <w:r>
        <w:t xml:space="preserve">;</w:t>
      </w:r>
      <w:r>
        <w:t xml:space="preserve"> </w:t>
      </w:r>
      <w:r>
        <w:rPr>
          <w:bCs/>
          <w:b/>
        </w:rPr>
        <w:t xml:space="preserve">45 unique ISA-style tags.</w:t>
      </w:r>
      <w:r>
        <w:t xml:space="preserve"> </w:t>
      </w:r>
      <w:r>
        <w:t xml:space="preserve">Prefix histogram: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(ISA 5.1)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Transmitter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Switch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Heater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Transmitter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(special)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Antenna/Analysis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 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Note the</w:t>
      </w:r>
      <w:r>
        <w:t xml:space="preserve"> </w:t>
      </w:r>
      <w:r>
        <w:rPr>
          <w:rStyle w:val="VerbatimChar"/>
          <w:bCs/>
          <w:b/>
        </w:rPr>
        <w:t xml:space="preserve">x</w:t>
      </w:r>
      <w:r>
        <w:rPr>
          <w:bCs/>
          <w:b/>
        </w:rPr>
        <w:t xml:space="preserve"> </w:t>
      </w:r>
      <w:r>
        <w:rPr>
          <w:bCs/>
          <w:b/>
        </w:rPr>
        <w:t xml:space="preserve">placeholder</w:t>
      </w:r>
      <w:r>
        <w:t xml:space="preserve"> </w:t>
      </w:r>
      <w:r>
        <w:t xml:space="preserve">in tag names (e.g. </w:t>
      </w:r>
      <w:r>
        <w:rPr>
          <w:rStyle w:val="VerbatimChar"/>
        </w:rPr>
        <w:t xml:space="preserve">TTx21</w:t>
      </w:r>
      <w:r>
        <w:t xml:space="preserve">,</w:t>
      </w:r>
      <w:r>
        <w:t xml:space="preserve"> </w:t>
      </w:r>
      <w:r>
        <w:rPr>
          <w:rStyle w:val="VerbatimChar"/>
        </w:rPr>
        <w:t xml:space="preserve">EHx11</w:t>
      </w:r>
      <w:r>
        <w:t xml:space="preserve">,</w:t>
      </w:r>
      <w:r>
        <w:t xml:space="preserve"> </w:t>
      </w:r>
      <w:r>
        <w:rPr>
          <w:rStyle w:val="VerbatimChar"/>
        </w:rPr>
        <w:t xml:space="preserve">LSx12</w:t>
      </w:r>
      <w:r>
        <w:t xml:space="preserve">,</w:t>
      </w:r>
      <w:r>
        <w:t xml:space="preserve"> </w:t>
      </w:r>
      <w:r>
        <w:rPr>
          <w:rStyle w:val="VerbatimChar"/>
        </w:rPr>
        <w:t xml:space="preserve">PZx21</w:t>
      </w:r>
      <w:r>
        <w:t xml:space="preserve">) — this drawing</w:t>
      </w:r>
      <w:r>
        <w:t xml:space="preserve"> </w:t>
      </w:r>
      <w:r>
        <w:t xml:space="preserve">uses a generic/templated numbering scheme for the two symmetric cavity strings (A/B).</w:t>
      </w:r>
    </w:p>
    <w:p>
      <w:pPr>
        <w:numPr>
          <w:ilvl w:val="0"/>
          <w:numId w:val="1006"/>
        </w:numPr>
        <w:pStyle w:val="Compact"/>
      </w:pPr>
      <w:r>
        <w:t xml:space="preserve">Equipment labels:</w:t>
      </w:r>
      <w:r>
        <w:t xml:space="preserve"> </w:t>
      </w:r>
      <w:r>
        <w:rPr>
          <w:rStyle w:val="VerbatimChar"/>
        </w:rPr>
        <w:t xml:space="preserve">CAV.A</w:t>
      </w:r>
      <w:r>
        <w:t xml:space="preserve">,</w:t>
      </w:r>
      <w:r>
        <w:t xml:space="preserve"> </w:t>
      </w:r>
      <w:r>
        <w:rPr>
          <w:rStyle w:val="VerbatimChar"/>
        </w:rPr>
        <w:t xml:space="preserve">CAV.B</w:t>
      </w:r>
      <w:r>
        <w:t xml:space="preserve">,</w:t>
      </w:r>
      <w:r>
        <w:t xml:space="preserve"> </w:t>
      </w:r>
      <w:r>
        <w:rPr>
          <w:rStyle w:val="VerbatimChar"/>
        </w:rPr>
        <w:t xml:space="preserve">QCELL-QM</w:t>
      </w:r>
      <w:r>
        <w:t xml:space="preserve">, plus notes on the manual purging system.</w:t>
      </w:r>
    </w:p>
    <w:bookmarkEnd w:id="32"/>
    <w:bookmarkStart w:id="33" w:name="color-palette-26-unique-hex-colors"/>
    <w:p>
      <w:pPr>
        <w:pStyle w:val="Heading3"/>
      </w:pPr>
      <w:r>
        <w:t xml:space="preserve">Color palette —</w:t>
      </w:r>
      <w:r>
        <w:t xml:space="preserve"> </w:t>
      </w:r>
      <w:r>
        <w:rPr>
          <w:bCs/>
          <w:b/>
        </w:rPr>
        <w:t xml:space="preserve">26 unique hex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⬛ 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Outlines,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Water-loop / process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🟦 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grey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#4d4d4d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 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🟥 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Heater / hot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🟩 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#00ff00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Coupler water lines (to FREIA)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grey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#f2f2f2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Dark 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pipes /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🟦 Cyan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#00ffff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#aa4400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#bf512e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/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Cavity/coupler bodies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#ffcc00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#ff9a00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X66a5f1cb572dc344affb1cf5903b40930bd04e6"/>
    <w:p>
      <w:pPr>
        <w:pStyle w:val="Heading2"/>
      </w:pPr>
      <w:r>
        <w:t xml:space="preserve">4. Cross-Cutting Observations (relevant to the reproduction goal)</w:t>
      </w:r>
    </w:p>
    <w:p>
      <w:pPr>
        <w:pStyle w:val="FirstParagraph"/>
      </w:pPr>
      <w:r>
        <w:t xml:space="preserve">The requested segmentation axes map directly onto structures</w:t>
      </w:r>
      <w:r>
        <w:t xml:space="preserve"> </w:t>
      </w:r>
      <w:r>
        <w:rPr>
          <w:bCs/>
          <w:b/>
        </w:rPr>
        <w:t xml:space="preserve">already present</w:t>
      </w:r>
      <w:r>
        <w:t xml:space="preserve"> </w:t>
      </w:r>
      <w:r>
        <w:t xml:space="preserve">in the source SVGs,</w:t>
      </w:r>
      <w:r>
        <w:t xml:space="preserve"> </w:t>
      </w:r>
      <w:r>
        <w:t xml:space="preserve">which makes a clean, standards-compliant rebuild feasible: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1"/>
        <w:gridCol w:w="46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Requested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signal already in the SVGs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Color-coded line classes A/B/D/E + dedicated</w:t>
            </w:r>
            <w:r>
              <w:t xml:space="preserve"> </w:t>
            </w:r>
            <w:r>
              <w:rPr>
                <w:rStyle w:val="VerbatimChar"/>
              </w:rPr>
              <w:t xml:space="preserve">Piping…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 process line…</w:t>
            </w:r>
            <w:r>
              <w:t xml:space="preserve"> </w:t>
            </w:r>
            <w:r>
              <w:t xml:space="preserve">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Individual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layers:</w:t>
            </w:r>
            <w:r>
              <w:t xml:space="preserve"> </w:t>
            </w:r>
            <w:r>
              <w:rPr>
                <w:rStyle w:val="VerbatimChar"/>
              </w:rPr>
              <w:t xml:space="preserve">Vacuum vessel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 K tank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CPLR 1/2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HX550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V501/V502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CPLR circuit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CPLR cuff and port metal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CPLR water loops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Bottom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ellipse</w:t>
            </w:r>
            <w:r>
              <w:t xml:space="preserve">/</w:t>
            </w:r>
            <w:r>
              <w:rPr>
                <w:rStyle w:val="VerbatimChar"/>
              </w:rPr>
              <w:t xml:space="preserve">circle</w:t>
            </w:r>
            <w:r>
              <w:t xml:space="preserve"> </w:t>
            </w:r>
            <w:r>
              <w:t xml:space="preserve">instrument bubbles (118 / 39) +</w:t>
            </w:r>
            <w:r>
              <w:t xml:space="preserve"> </w:t>
            </w:r>
            <w:r>
              <w:rPr>
                <w:rStyle w:val="VerbatimChar"/>
              </w:rPr>
              <w:t xml:space="preserve">Instrumentation</w:t>
            </w:r>
            <w:r>
              <w:t xml:space="preserve"> </w:t>
            </w:r>
            <w:r>
              <w:t xml:space="preserve">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Instrumentation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 + 45 unique ISA-style tags (</w:t>
            </w:r>
            <w:r>
              <w:rPr>
                <w:rStyle w:val="VerbatimChar"/>
              </w:rPr>
              <w:t xml:space="preserve">TT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Vacuum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dashed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vacuum barrier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boundary +</w:t>
            </w:r>
            <w:r>
              <w:t xml:space="preserve"> </w:t>
            </w:r>
            <w:r>
              <w:rPr>
                <w:rStyle w:val="VerbatimChar"/>
              </w:rPr>
              <w:t xml:space="preserve">INVAC</w:t>
            </w:r>
            <w:r>
              <w:t xml:space="preserve"> </w:t>
            </w:r>
            <w:r>
              <w:t xml:space="preserve">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</w:t>
            </w:r>
            <w:r>
              <w:t xml:space="preserve">/</w:t>
            </w:r>
            <w:r>
              <w:rPr>
                <w:rStyle w:val="VerbatimChar"/>
              </w:rPr>
              <w:t xml:space="preserve">LT</w:t>
            </w:r>
            <w:r>
              <w:t xml:space="preserve"> </w:t>
            </w:r>
            <w:r>
              <w:t xml:space="preserve">tags,</w:t>
            </w:r>
            <w:r>
              <w:t xml:space="preserve"> </w:t>
            </w:r>
            <w:r>
              <w:rPr>
                <w:rStyle w:val="VerbatimChar"/>
              </w:rPr>
              <w:t xml:space="preserve">EH</w:t>
            </w:r>
            <w:r>
              <w:t xml:space="preserve"> </w:t>
            </w:r>
            <w:r>
              <w:t xml:space="preserve">heaters,</w:t>
            </w:r>
            <w:r>
              <w:t xml:space="preserve"> </w:t>
            </w:r>
            <w:r>
              <w:rPr>
                <w:rStyle w:val="VerbatimChar"/>
              </w:rPr>
              <w:t xml:space="preserve">Heat loads</w:t>
            </w:r>
            <w:r>
              <w:t xml:space="preserve">/</w:t>
            </w:r>
            <w:r>
              <w:rPr>
                <w:rStyle w:val="VerbatimChar"/>
              </w:rPr>
              <w:t xml:space="preserve">HL</w:t>
            </w:r>
            <w:r>
              <w:t xml:space="preserve"> </w:t>
            </w:r>
            <w:r>
              <w:t xml:space="preserve">annotations, cryo temperatures in 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</w:t>
            </w:r>
            <w:r>
              <w:t xml:space="preserve">/</w:t>
            </w:r>
            <w:r>
              <w:rPr>
                <w:rStyle w:val="VerbatimChar"/>
              </w:rPr>
              <w:t xml:space="preserve">PZ</w:t>
            </w:r>
            <w:r>
              <w:t xml:space="preserve">/</w:t>
            </w:r>
            <w:r>
              <w:rPr>
                <w:rStyle w:val="VerbatimChar"/>
              </w:rPr>
              <w:t xml:space="preserve">PL</w:t>
            </w:r>
            <w:r>
              <w:t xml:space="preserve">/</w:t>
            </w:r>
            <w:r>
              <w:rPr>
                <w:rStyle w:val="VerbatimChar"/>
              </w:rPr>
              <w:t xml:space="preserve">RV</w:t>
            </w:r>
            <w:r>
              <w:t xml:space="preserve"> </w:t>
            </w:r>
            <w:r>
              <w:t xml:space="preserve">tags, pressure values on each line class in 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/ 26 hex colors; line classes and instrument classes already color-keyed</w:t>
            </w:r>
          </w:p>
        </w:tc>
      </w:tr>
    </w:tbl>
    <w:bookmarkStart w:id="35" w:name="standards-notes-for-the-rebuild"/>
    <w:p>
      <w:pPr>
        <w:pStyle w:val="Heading3"/>
      </w:pPr>
      <w:r>
        <w:t xml:space="preserve">Standards notes for the rebuild</w:t>
      </w:r>
    </w:p>
    <w:p>
      <w:pPr>
        <w:numPr>
          <w:ilvl w:val="0"/>
          <w:numId w:val="1007"/>
        </w:numPr>
        <w:pStyle w:val="Compact"/>
      </w:pPr>
      <w:r>
        <w:t xml:space="preserve">Both sheets are</w:t>
      </w:r>
      <w:r>
        <w:t xml:space="preserve"> </w:t>
      </w:r>
      <w:r>
        <w:rPr>
          <w:bCs/>
          <w:b/>
        </w:rPr>
        <w:t xml:space="preserve">ISO A3 landscape</w:t>
      </w:r>
      <w:r>
        <w:t xml:space="preserve"> </w:t>
      </w:r>
      <w:r>
        <w:t xml:space="preserve">with the same viewBox (</w:t>
      </w:r>
      <w:r>
        <w:rPr>
          <w:rStyle w:val="VerbatimChar"/>
        </w:rPr>
        <w:t xml:space="preserve">0 0 1527.2727 1080</w:t>
      </w:r>
      <w:r>
        <w:t xml:space="preserve">), so a shared</w:t>
      </w:r>
      <w:r>
        <w:t xml:space="preserve"> </w:t>
      </w:r>
      <w:r>
        <w:t xml:space="preserve">coordinate grid / template can be reused.</w:t>
      </w:r>
    </w:p>
    <w:p>
      <w:pPr>
        <w:numPr>
          <w:ilvl w:val="0"/>
          <w:numId w:val="1007"/>
        </w:numPr>
        <w:pStyle w:val="Compact"/>
      </w:pPr>
      <w:r>
        <w:t xml:space="preserve">Tags broadly follow</w:t>
      </w:r>
      <w:r>
        <w:t xml:space="preserve"> </w:t>
      </w:r>
      <w:r>
        <w:rPr>
          <w:bCs/>
          <w:b/>
        </w:rPr>
        <w:t xml:space="preserve">ISA 5.1</w:t>
      </w:r>
      <w:r>
        <w:t xml:space="preserve"> </w:t>
      </w:r>
      <w:r>
        <w:t xml:space="preserve">letter conventions (first letter = measured variable, e.g. T, P, L, F;</w:t>
      </w:r>
      <w:r>
        <w:t xml:space="preserve"> </w:t>
      </w:r>
      <w:r>
        <w:t xml:space="preserve">trailing function letters T = transmitter, V = valve, S = switch). A normalization pass against the</w:t>
      </w:r>
      <w:r>
        <w:t xml:space="preserve"> </w:t>
      </w:r>
      <w:r>
        <w:rPr>
          <w:rStyle w:val="VerbatimChar"/>
        </w:rPr>
        <w:t xml:space="preserve">PID Nomenclature MINERVA CryoCell (QCELL-LB).xlsx</w:t>
      </w:r>
      <w:r>
        <w:t xml:space="preserve"> </w:t>
      </w:r>
      <w:r>
        <w:t xml:space="preserve">will be needed to make tags fully ISA-consistent.</w:t>
      </w:r>
    </w:p>
    <w:p>
      <w:pPr>
        <w:numPr>
          <w:ilvl w:val="0"/>
          <w:numId w:val="1007"/>
        </w:numPr>
        <w:pStyle w:val="Compact"/>
      </w:pPr>
      <w:r>
        <w:t xml:space="preserve">Instrument</w:t>
      </w:r>
      <w:r>
        <w:t xml:space="preserve"> </w:t>
      </w:r>
      <w:r>
        <w:rPr>
          <w:bCs/>
          <w:b/>
        </w:rPr>
        <w:t xml:space="preserve">bubbles</w:t>
      </w:r>
      <w:r>
        <w:t xml:space="preserve"> </w:t>
      </w:r>
      <w:r>
        <w:t xml:space="preserve">are drawn as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/</w:t>
      </w:r>
      <w:r>
        <w:rPr>
          <w:rStyle w:val="VerbatimChar"/>
        </w:rPr>
        <w:t xml:space="preserve">circle</w:t>
      </w:r>
      <w:r>
        <w:t xml:space="preserve">; line-end</w:t>
      </w:r>
      <w:r>
        <w:t xml:space="preserve"> </w:t>
      </w:r>
      <w:r>
        <w:rPr>
          <w:bCs/>
          <w:b/>
        </w:rPr>
        <w:t xml:space="preserve">markers</w:t>
      </w:r>
      <w:r>
        <w:t xml:space="preserve"> </w:t>
      </w:r>
      <w:r>
        <w:t xml:space="preserve">(336 / 221) are heavily</w:t>
      </w:r>
      <w:r>
        <w:t xml:space="preserve"> </w:t>
      </w:r>
      <w:r>
        <w:t xml:space="preserve">used for arrowheads, heat-load triangles, and flange symbols — these will need a clean symbol library.</w:t>
      </w:r>
    </w:p>
    <w:p>
      <w:pPr>
        <w:numPr>
          <w:ilvl w:val="0"/>
          <w:numId w:val="1007"/>
        </w:numPr>
        <w:pStyle w:val="Compact"/>
      </w:pPr>
      <w:r>
        <w:t xml:space="preserve">Color usage is currently RGB-primary (</w:t>
      </w:r>
      <w:r>
        <w:rPr>
          <w:rStyle w:val="VerbatimChar"/>
        </w:rPr>
        <w:t xml:space="preserve">#ff0000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#00ff00</w:t>
      </w:r>
      <w:r>
        <w:t xml:space="preserve">,</w:t>
      </w:r>
      <w:r>
        <w:t xml:space="preserve"> </w:t>
      </w:r>
      <w:r>
        <w:rPr>
          <w:rStyle w:val="VerbatimChar"/>
        </w:rPr>
        <w:t xml:space="preserve">#0000ff</w:t>
      </w:r>
      <w:r>
        <w:t xml:space="preserve">, …). For an ISO/ISA reproduction</w:t>
      </w:r>
      <w:r>
        <w:t xml:space="preserve"> </w:t>
      </w:r>
      <w:r>
        <w:t xml:space="preserve">a defined, documented color palette should replace the ad-hoc primaries.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ventory-at-a-glance"/>
    <w:p>
      <w:pPr>
        <w:pStyle w:val="Heading2"/>
      </w:pPr>
      <w:r>
        <w:t xml:space="preserve">5. Inventory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5"/>
        <w:gridCol w:w="542"/>
        <w:gridCol w:w="1193"/>
        <w:gridCol w:w="976"/>
        <w:gridCol w:w="1084"/>
        <w:gridCol w:w="867"/>
        <w:gridCol w:w="650"/>
        <w:gridCol w:w="1410"/>
        <w:gridCol w:w="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Layers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Unique 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PFD-PID MINERVA QCELL-LB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(420×297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0 0 1527.27 1080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PFD-PID MINERVA RFCELL seen by 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(420×297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0 0 1527.27 1080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2 unique P&amp;ID SVG files</w:t>
      </w:r>
      <w:r>
        <w:t xml:space="preserve">, both Inkscape-authored ISO A3 landscape drawings sharing a common</w:t>
      </w:r>
      <w:r>
        <w:t xml:space="preserve"> </w:t>
      </w:r>
      <w:r>
        <w:t xml:space="preserve">coordinate system, with existing semantic layering and color coding that align well with the planned</w:t>
      </w:r>
      <w:r>
        <w:t xml:space="preserve"> </w:t>
      </w:r>
      <w:r>
        <w:t xml:space="preserve">ISO / ISA 5.1 segmentation and reproduction work.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2026-06-03T15:32:45Z</dcterms:created>
  <dcterms:modified xsi:type="dcterms:W3CDTF">2026-06-03T15:32:45Z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