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dr-ocd-partial-extract-vcr-focus"/>
    <w:p>
      <w:pPr>
        <w:pStyle w:val="Heading1"/>
      </w:pPr>
      <w:r>
        <w:t xml:space="preserve">ADR &amp; OCD Partial Extract (VCR Focus)</w:t>
      </w:r>
    </w:p>
    <w:p>
      <w:pPr>
        <w:pStyle w:val="FirstParagraph"/>
      </w:pPr>
      <w:r>
        <w:t xml:space="preserve">Sources: 06_arch/ADR/ADR.md (ADR-001) and 07_ops/OCD/OCD.md.</w:t>
      </w:r>
    </w:p>
    <w:bookmarkStart w:id="20" w:name="adr-001-highlights"/>
    <w:p>
      <w:pPr>
        <w:pStyle w:val="Heading2"/>
      </w:pPr>
      <w:r>
        <w:t xml:space="preserve">1. ADR-001 Highlights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VCR-Relevant Extract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Addendum II demands Table 6 leakage limits, helium recovery to WCS.LP, analyzer coverage in compressor/cold-box rooms, and SBS dot notation for warm 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 Decision highlights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/FS joints on warm service interfaces, enforce female infrastructure vs male modules, implement DBB purge to &lt;=0.05% residual air, install tamper seals, and fix BD/PSV populations with 200 g/s</w:t>
            </w:r>
            <w:r>
              <w:t xml:space="preserve"> </w:t>
            </w:r>
            <w:r>
              <w:t xml:space="preserve">@1.3</w:t>
            </w:r>
            <w:r>
              <w:t xml:space="preserve"> </w:t>
            </w:r>
            <w:r>
              <w:t xml:space="preserve">bar(a) routed to WCS.LP.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 Consequences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Predictable maintenance surfaces, minimized helium loss, traceable gasket use, and relief sizing aligned with API 520/521 and ISO 21013-1/2.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 Risks &amp; mitigations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ingress mitigated via DBB purge + analyzer verification; PSV sizing misalignment mitigated via certified calcs; gasket reuse mitigated via tamper workflow.</w:t>
            </w:r>
          </w:p>
        </w:tc>
      </w:tr>
    </w:tbl>
    <w:bookmarkEnd w:id="20"/>
    <w:bookmarkStart w:id="21" w:name="ocd-operational-threads"/>
    <w:p>
      <w:pPr>
        <w:pStyle w:val="Heading2"/>
      </w:pPr>
      <w:r>
        <w:t xml:space="preserve">2. OCD Operational Threads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VCR Tie-in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 start-up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Pressurize QINFRA.U/W/S, validate analyzers GAP.WCS/GAP.QRB, confirm PSV/BD readiness.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DBB purge, replace gasket, perform leak test, log tamper data before returning to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depressurization/LOOP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Addendum event tree so S-line directs 200 g/s</w:t>
            </w:r>
            <w:r>
              <w:t xml:space="preserve"> </w:t>
            </w:r>
            <w:r>
              <w:t xml:space="preserve">@300</w:t>
            </w:r>
            <w:r>
              <w:t xml:space="preserve"> </w:t>
            </w:r>
            <w:r>
              <w:t xml:space="preserve">K to WCS.LP while CIS records recovery volumes.</w:t>
            </w:r>
          </w:p>
        </w:tc>
      </w:tr>
    </w:tbl>
    <w:bookmarkEnd w:id="21"/>
    <w:bookmarkStart w:id="22" w:name="role-requirement-alignment"/>
    <w:p>
      <w:pPr>
        <w:pStyle w:val="Heading2"/>
      </w:pPr>
      <w:r>
        <w:t xml:space="preserve">3. Role &amp; Requirement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US-OPS-01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standard purge workflow to keep helium purity &gt;=99.999%.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US-MAINT-02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tamper seals and logs proving new gasket installation.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RTM.002 &amp; RTM.008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US-RELIAB-03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analyzer + helium loss metrics to keep KPI &lt;=1 Nm3/day.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US-SAFETY-04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PSV/BD population and sizing data for S-line certification.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RTM.006 &amp; RTM.007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US-CONTROL-05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fail-open pilots so loss of air never blocks manual isolation.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RTM.003b</w:t>
            </w:r>
          </w:p>
        </w:tc>
      </w:tr>
    </w:tbl>
    <w:bookmarkEnd w:id="22"/>
    <w:bookmarkStart w:id="23" w:name="notes"/>
    <w:p>
      <w:pPr>
        <w:pStyle w:val="Heading2"/>
      </w:pPr>
      <w:r>
        <w:t xml:space="preserve">4. Notes</w:t>
      </w:r>
    </w:p>
    <w:p>
      <w:pPr>
        <w:pStyle w:val="Compact"/>
        <w:numPr>
          <w:ilvl w:val="0"/>
          <w:numId w:val="1001"/>
        </w:numPr>
      </w:pPr>
      <w:r>
        <w:t xml:space="preserve">ADR-001 Accepted status (v1.3.0) confirms /FS orientation, purge strategy, tamper control, and relief sizing baseline.</w:t>
      </w:r>
    </w:p>
    <w:p>
      <w:pPr>
        <w:pStyle w:val="Compact"/>
        <w:numPr>
          <w:ilvl w:val="0"/>
          <w:numId w:val="1001"/>
        </w:numPr>
      </w:pPr>
      <w:r>
        <w:t xml:space="preserve">OCD scenarios emphasize when DBB purge, analyzer validation, and S-line PSV performance must be proven in operations.</w:t>
      </w:r>
    </w:p>
    <w:p>
      <w:pPr>
        <w:pStyle w:val="Compact"/>
        <w:numPr>
          <w:ilvl w:val="0"/>
          <w:numId w:val="1001"/>
        </w:numPr>
      </w:pPr>
      <w:r>
        <w:t xml:space="preserve">Keep this extract synced with CIS prompts so that only VCR-relevant context is carried into training decks.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2025-11-07T09:56:30Z</dcterms:created>
  <dcterms:modified xsi:type="dcterms:W3CDTF">2025-11-07T09:56:30Z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