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ba-integration-guide"/>
    <w:p>
      <w:pPr>
        <w:pStyle w:val="Heading1"/>
      </w:pPr>
      <w:r>
        <w:t xml:space="preserve">GBA Integration Guide</w:t>
      </w:r>
    </w:p>
    <w:p>
      <w:pPr>
        <w:pStyle w:val="BlockText"/>
      </w:pPr>
      <w:r>
        <w:t xml:space="preserve">How GBOGEB/CODEX (GBC) integrates with GBOGEB/ABACUS (GBA)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GBC serves as the</w:t>
      </w:r>
      <w:r>
        <w:t xml:space="preserve"> </w:t>
      </w:r>
      <w:r>
        <w:rPr>
          <w:bCs/>
          <w:b/>
        </w:rPr>
        <w:t xml:space="preserve">visual asset governance layer</w:t>
      </w:r>
      <w:r>
        <w:t xml:space="preserve"> </w:t>
      </w:r>
      <w:r>
        <w:t xml:space="preserve">— the canonical source for engineering</w:t>
      </w:r>
      <w:r>
        <w:t xml:space="preserve"> </w:t>
      </w:r>
      <w:r>
        <w:t xml:space="preserve">diagrams, schematics, and SVG assets. GBA is the</w:t>
      </w:r>
      <w:r>
        <w:t xml:space="preserve"> </w:t>
      </w:r>
      <w:r>
        <w:rPr>
          <w:bCs/>
          <w:b/>
        </w:rPr>
        <w:t xml:space="preserve">publication governance engine</w:t>
      </w:r>
      <w:r>
        <w:t xml:space="preserve"> </w:t>
      </w:r>
      <w:r>
        <w:t xml:space="preserve">that</w:t>
      </w:r>
      <w:r>
        <w:t xml:space="preserve"> </w:t>
      </w:r>
      <w:r>
        <w:t xml:space="preserve">consumes these assets for rendering in dashboards, reports, and presentations.</w:t>
      </w:r>
    </w:p>
    <w:p>
      <w:pPr>
        <w:pStyle w:val="SourceCode"/>
      </w:pPr>
      <w:r>
        <w:rPr>
          <w:rStyle w:val="VerbatimChar"/>
        </w:rPr>
        <w:t xml:space="preserve">┌──────────── GBC (CODEX) ──────────────┐     ┌──────────── GBA (ABACUS) ─────────┐</w:t>
      </w:r>
      <w:r>
        <w:br/>
      </w:r>
      <w:r>
        <w:rPr>
          <w:rStyle w:val="VerbatimChar"/>
        </w:rPr>
        <w:t xml:space="preserve">│                                        │     │                                    │</w:t>
      </w:r>
      <w:r>
        <w:br/>
      </w:r>
      <w:r>
        <w:rPr>
          <w:rStyle w:val="VerbatimChar"/>
        </w:rPr>
        <w:t xml:space="preserve">│  assets/canonical/ ──────────────────►│────►│ Input_Master/                      │</w:t>
      </w:r>
      <w:r>
        <w:br/>
      </w:r>
      <w:r>
        <w:rPr>
          <w:rStyle w:val="VerbatimChar"/>
        </w:rPr>
        <w:t xml:space="preserve">│  (SVG, PNG, DrawIO sources)           │     │ (verification_hook.py processes)   │</w:t>
      </w:r>
      <w:r>
        <w:br/>
      </w:r>
      <w:r>
        <w:rPr>
          <w:rStyle w:val="VerbatimChar"/>
        </w:rPr>
        <w:t xml:space="preserve">│                                        │     │                                    │</w:t>
      </w:r>
      <w:r>
        <w:br/>
      </w:r>
      <w:r>
        <w:rPr>
          <w:rStyle w:val="VerbatimChar"/>
        </w:rPr>
        <w:t xml:space="preserve">│  config/visual_data.yaml ────────────►│────►│ engines/SEMANTIC_THEME.yaml        │</w:t>
      </w:r>
      <w:r>
        <w:br/>
      </w:r>
      <w:r>
        <w:rPr>
          <w:rStyle w:val="VerbatimChar"/>
        </w:rPr>
        <w:t xml:space="preserve">│  (theme tokens, asset catalog)        │     │ (extends theme tokens)             │</w:t>
      </w:r>
      <w:r>
        <w:br/>
      </w:r>
      <w:r>
        <w:rPr>
          <w:rStyle w:val="VerbatimChar"/>
        </w:rPr>
        <w:t xml:space="preserve">│                                        │     │                                    │</w:t>
      </w:r>
      <w:r>
        <w:br/>
      </w:r>
      <w:r>
        <w:rPr>
          <w:rStyle w:val="VerbatimChar"/>
        </w:rPr>
        <w:t xml:space="preserve">│  lineage_manifest.json ──────────────►│────►│ _data/lineage_manifest.json        │</w:t>
      </w:r>
      <w:r>
        <w:br/>
      </w:r>
      <w:r>
        <w:rPr>
          <w:rStyle w:val="VerbatimChar"/>
        </w:rPr>
        <w:t xml:space="preserve">│  (SHA256 tracking)                    │     │ (cross-repo lineage)               │</w:t>
      </w:r>
      <w:r>
        <w:br/>
      </w:r>
      <w:r>
        <w:rPr>
          <w:rStyle w:val="VerbatimChar"/>
        </w:rPr>
        <w:t xml:space="preserve">│                                        │     │                                    │</w:t>
      </w:r>
      <w:r>
        <w:br/>
      </w:r>
      <w:r>
        <w:rPr>
          <w:rStyle w:val="VerbatimChar"/>
        </w:rPr>
        <w:t xml:space="preserve">│  config/knowledge_topology.json ─────►│────►│ config/knowledge_topology.json     │</w:t>
      </w:r>
      <w:r>
        <w:br/>
      </w:r>
      <w:r>
        <w:rPr>
          <w:rStyle w:val="VerbatimChar"/>
        </w:rPr>
        <w:t xml:space="preserve">│  (node/edge graph)                    │     │ (shared topology)                  │</w:t>
      </w:r>
      <w:r>
        <w:br/>
      </w:r>
      <w:r>
        <w:rPr>
          <w:rStyle w:val="VerbatimChar"/>
        </w:rPr>
        <w:t xml:space="preserve">│                                        │     │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     └────────────────────────────────────┘</w:t>
      </w:r>
    </w:p>
    <w:bookmarkEnd w:id="20"/>
    <w:bookmarkStart w:id="26" w:name="integration-points"/>
    <w:p>
      <w:pPr>
        <w:pStyle w:val="Heading2"/>
      </w:pPr>
      <w:r>
        <w:t xml:space="preserve">Integration Points</w:t>
      </w:r>
    </w:p>
    <w:bookmarkStart w:id="21" w:name="asset-transfer-pipeline"/>
    <w:p>
      <w:pPr>
        <w:pStyle w:val="Heading3"/>
      </w:pPr>
      <w:r>
        <w:t xml:space="preserve">1. Asset Transfer Pipeline</w:t>
      </w:r>
    </w:p>
    <w:p>
      <w:pPr>
        <w:pStyle w:val="SourceCode"/>
      </w:pPr>
      <w:r>
        <w:rPr>
          <w:rStyle w:val="CommentTok"/>
        </w:rPr>
        <w:t xml:space="preserve"># 1. Export compiled SVGs from GBC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gbogeb_codex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src/svg_cleaner.py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assets/canonical/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assets/compiled/</w:t>
      </w:r>
      <w:r>
        <w:br/>
      </w:r>
      <w:r>
        <w:br/>
      </w:r>
      <w:r>
        <w:rPr>
          <w:rStyle w:val="CommentTok"/>
        </w:rPr>
        <w:t xml:space="preserve"># 2. Copy to GBA Input_Master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assets/compiled/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.svg ../gbogeb_abacus/Input_Master/</w:t>
      </w:r>
      <w:r>
        <w:br/>
      </w:r>
      <w:r>
        <w:br/>
      </w:r>
      <w:r>
        <w:rPr>
          <w:rStyle w:val="CommentTok"/>
        </w:rPr>
        <w:t xml:space="preserve"># 3. Run GBA verification hook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../gbogeb_abacus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engines/verification_hook.py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Input_Master/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_data/</w:t>
      </w:r>
    </w:p>
    <w:bookmarkEnd w:id="21"/>
    <w:bookmarkStart w:id="22" w:name="knowledge-topology"/>
    <w:p>
      <w:pPr>
        <w:pStyle w:val="Heading3"/>
      </w:pPr>
      <w:r>
        <w:t xml:space="preserve">2. Knowledge Topology</w:t>
      </w:r>
    </w:p>
    <w:p>
      <w:pPr>
        <w:pStyle w:val="FirstParagraph"/>
      </w:pPr>
      <w:r>
        <w:t xml:space="preserve">Both repositories maintain</w:t>
      </w:r>
      <w:r>
        <w:t xml:space="preserve"> </w:t>
      </w:r>
      <w:r>
        <w:rPr>
          <w:rStyle w:val="VerbatimChar"/>
        </w:rPr>
        <w:t xml:space="preserve">config/knowledge_topology.json</w:t>
      </w:r>
      <w:r>
        <w:t xml:space="preserve"> </w:t>
      </w:r>
      <w:r>
        <w:t xml:space="preserve">files that reference each other: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GBC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GBA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GBC-ASSET-001</w:t>
            </w:r>
            <w:r>
              <w:t xml:space="preserve"> </w:t>
            </w:r>
            <w:r>
              <w:t xml:space="preserve">(cryomodule.svg)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GBA-HMI-001</w:t>
            </w:r>
            <w:r>
              <w:t xml:space="preserve"> </w:t>
            </w:r>
            <w:r>
              <w:t xml:space="preserve">(HMI 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GBC-ASSET-002</w:t>
            </w:r>
            <w:r>
              <w:t xml:space="preserve"> </w:t>
            </w:r>
            <w:r>
              <w:t xml:space="preserve">(facility_layout.svg)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referenced_in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GBA-REPORT-001</w:t>
            </w:r>
            <w:r>
              <w:t xml:space="preserve"> </w:t>
            </w:r>
            <w:r>
              <w:t xml:space="preserve">(Tech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GBC-ENGINE-001</w:t>
            </w:r>
            <w:r>
              <w:t xml:space="preserve"> </w:t>
            </w:r>
            <w:r>
              <w:t xml:space="preserve">(asset_validator.py)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GBA-ENGINE-HOOK</w:t>
            </w:r>
            <w:r>
              <w:t xml:space="preserve"> </w:t>
            </w:r>
            <w:r>
              <w:t xml:space="preserve">(verification_hook.py)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GBC-ENGINE-003</w:t>
            </w:r>
            <w:r>
              <w:t xml:space="preserve"> </w:t>
            </w:r>
            <w:r>
              <w:t xml:space="preserve">(lineage_tracker.py)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GBA-LINEAGE-001</w:t>
            </w:r>
            <w:r>
              <w:t xml:space="preserve"> </w:t>
            </w:r>
            <w:r>
              <w:t xml:space="preserve">(lineage_manifest.json)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GBC-CONFIG-001</w:t>
            </w:r>
            <w:r>
              <w:t xml:space="preserve"> </w:t>
            </w:r>
            <w:r>
              <w:t xml:space="preserve">(visual_data.yaml)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GBA-THEME-001</w:t>
            </w:r>
            <w:r>
              <w:t xml:space="preserve"> </w:t>
            </w:r>
            <w:r>
              <w:t xml:space="preserve">(SEMANTIC_THEME.yaml)</w:t>
            </w:r>
          </w:p>
        </w:tc>
      </w:tr>
    </w:tbl>
    <w:bookmarkEnd w:id="22"/>
    <w:bookmarkStart w:id="23" w:name="theme-token-mapping"/>
    <w:p>
      <w:pPr>
        <w:pStyle w:val="Heading3"/>
      </w:pPr>
      <w:r>
        <w:t xml:space="preserve">3. Theme Token Mapping</w:t>
      </w:r>
    </w:p>
    <w:p>
      <w:pPr>
        <w:pStyle w:val="FirstParagraph"/>
      </w:pPr>
      <w:r>
        <w:t xml:space="preserve">GBC’s</w:t>
      </w:r>
      <w:r>
        <w:t xml:space="preserve"> </w:t>
      </w:r>
      <w:r>
        <w:rPr>
          <w:rStyle w:val="VerbatimChar"/>
        </w:rPr>
        <w:t xml:space="preserve">visual_data.yaml</w:t>
      </w:r>
      <w:r>
        <w:t xml:space="preserve"> </w:t>
      </w:r>
      <w:r>
        <w:t xml:space="preserve">defines diagram-specific theme tokens that extend GBA’s semantic theme:</w:t>
      </w:r>
    </w:p>
    <w:p>
      <w:pPr>
        <w:pStyle w:val="SourceCode"/>
      </w:pPr>
      <w:r>
        <w:rPr>
          <w:rStyle w:val="CommentTok"/>
        </w:rPr>
        <w:t xml:space="preserve"># GBC visual_data.yaml</w:t>
      </w:r>
      <w:r>
        <w:br/>
      </w:r>
      <w:r>
        <w:rPr>
          <w:rStyle w:val="FunctionTok"/>
        </w:rPr>
        <w:t xml:space="preserve">theme_tokens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diagram_stroke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"var(--color-primary)"</w:t>
      </w:r>
      <w:r>
        <w:rPr>
          <w:rStyle w:val="CommentTok"/>
        </w:rPr>
        <w:t xml:space="preserve">      # → GBA SEMANTIC_THEME primary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diagram_fill_surface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"var(--color-surface)"</w:t>
      </w:r>
      <w:r>
        <w:rPr>
          <w:rStyle w:val="CommentTok"/>
        </w:rPr>
        <w:t xml:space="preserve"> # → GBA SEMANTIC_THEME surface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status_nominal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"var(--color-success)"</w:t>
      </w:r>
      <w:r>
        <w:rPr>
          <w:rStyle w:val="CommentTok"/>
        </w:rPr>
        <w:t xml:space="preserve">       # → GBA SEMANTIC_THEME success</w:t>
      </w:r>
    </w:p>
    <w:bookmarkEnd w:id="23"/>
    <w:bookmarkStart w:id="24" w:name="lineage-continuity"/>
    <w:p>
      <w:pPr>
        <w:pStyle w:val="Heading3"/>
      </w:pPr>
      <w:r>
        <w:t xml:space="preserve">4. Lineage Continuity</w:t>
      </w:r>
    </w:p>
    <w:p>
      <w:pPr>
        <w:pStyle w:val="FirstParagraph"/>
      </w:pPr>
      <w:r>
        <w:t xml:space="preserve">GBC’s</w:t>
      </w:r>
      <w:r>
        <w:t xml:space="preserve"> </w:t>
      </w:r>
      <w:r>
        <w:rPr>
          <w:rStyle w:val="VerbatimChar"/>
        </w:rPr>
        <w:t xml:space="preserve">lineage_manifest.json</w:t>
      </w:r>
      <w:r>
        <w:t xml:space="preserve"> </w:t>
      </w:r>
      <w:r>
        <w:t xml:space="preserve">and GBA’s</w:t>
      </w:r>
      <w:r>
        <w:t xml:space="preserve"> </w:t>
      </w:r>
      <w:r>
        <w:rPr>
          <w:rStyle w:val="VerbatimChar"/>
        </w:rPr>
        <w:t xml:space="preserve">_data/lineage_manifest.json</w:t>
      </w:r>
      <w:r>
        <w:t xml:space="preserve"> </w:t>
      </w:r>
      <w:r>
        <w:t xml:space="preserve">form a</w:t>
      </w:r>
      <w:r>
        <w:t xml:space="preserve"> </w:t>
      </w:r>
      <w:r>
        <w:rPr>
          <w:bCs/>
          <w:b/>
        </w:rPr>
        <w:t xml:space="preserve">cross-repository lineage chain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GBC: canonical SVG → sha256 → GBC manifest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GBA: Input_Master/ → verification_hook → GBA manifest → rendered output</w:t>
      </w:r>
    </w:p>
    <w:bookmarkEnd w:id="24"/>
    <w:bookmarkStart w:id="25" w:name="archive-bundle"/>
    <w:p>
      <w:pPr>
        <w:pStyle w:val="Heading3"/>
      </w:pPr>
      <w:r>
        <w:t xml:space="preserve">5. Archive Bundle</w:t>
      </w:r>
    </w:p>
    <w:p>
      <w:pPr>
        <w:pStyle w:val="FirstParagraph"/>
      </w:pPr>
      <w:r>
        <w:t xml:space="preserve">GBC generates</w:t>
      </w:r>
      <w:r>
        <w:t xml:space="preserve"> </w:t>
      </w:r>
      <w:r>
        <w:rPr>
          <w:rStyle w:val="VerbatimChar"/>
        </w:rPr>
        <w:t xml:space="preserve">gbc_asset_bundle.tar.gz</w:t>
      </w:r>
      <w:r>
        <w:t xml:space="preserve"> </w:t>
      </w:r>
      <w:r>
        <w:t xml:space="preserve">containing:</w:t>
      </w:r>
      <w:r>
        <w:t xml:space="preserve"> </w:t>
      </w:r>
      <w:r>
        <w:t xml:space="preserve">- Compiled/optimized SVGs</w:t>
      </w:r>
      <w:r>
        <w:t xml:space="preserve"> </w:t>
      </w:r>
      <w:r>
        <w:t xml:space="preserve">- Visual data registry</w:t>
      </w:r>
      <w:r>
        <w:t xml:space="preserve"> </w:t>
      </w:r>
      <w:r>
        <w:t xml:space="preserve">- Knowledge topology</w:t>
      </w:r>
      <w:r>
        <w:t xml:space="preserve"> </w:t>
      </w:r>
      <w:r>
        <w:t xml:space="preserve">- Stakeholder registry</w:t>
      </w:r>
      <w:r>
        <w:t xml:space="preserve"> </w:t>
      </w:r>
      <w:r>
        <w:t xml:space="preserve">- Lineage manifest</w:t>
      </w:r>
    </w:p>
    <w:p>
      <w:pPr>
        <w:pStyle w:val="BodyText"/>
      </w:pPr>
      <w:r>
        <w:t xml:space="preserve">This bundle can be consumed directly by GBA’s CI/CD pipeline.</w:t>
      </w:r>
    </w:p>
    <w:bookmarkEnd w:id="25"/>
    <w:bookmarkEnd w:id="26"/>
    <w:bookmarkStart w:id="27" w:name="validation-checklist"/>
    <w:p>
      <w:pPr>
        <w:pStyle w:val="Heading2"/>
      </w:pPr>
      <w:r>
        <w:t xml:space="preserve">Validation Checklist</w:t>
      </w:r>
    </w:p>
    <w:p>
      <w:pPr>
        <w:numPr>
          <w:ilvl w:val="0"/>
          <w:numId w:val="1001"/>
        </w:numPr>
        <w:pStyle w:val="Compact"/>
      </w:pPr>
      <w:r>
        <w:t xml:space="preserve">☐ All SVGs in</w:t>
      </w:r>
      <w:r>
        <w:t xml:space="preserve"> </w:t>
      </w:r>
      <w:r>
        <w:rPr>
          <w:rStyle w:val="VerbatimChar"/>
        </w:rPr>
        <w:t xml:space="preserve">assets/canonical/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asset_validator.py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lineage_manifest.json</w:t>
      </w:r>
      <w:r>
        <w:t xml:space="preserve"> </w:t>
      </w:r>
      <w:r>
        <w:t xml:space="preserve">is valid (</w:t>
      </w:r>
      <w:r>
        <w:rPr>
          <w:rStyle w:val="VerbatimChar"/>
        </w:rPr>
        <w:t xml:space="preserve">lineage_tracker.py --validate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SHA256 hashes match on-disk files (</w:t>
      </w:r>
      <w:r>
        <w:rPr>
          <w:rStyle w:val="VerbatimChar"/>
        </w:rPr>
        <w:t xml:space="preserve">lineage_tracker.py --verify-hashes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knowledge_topology.json</w:t>
      </w:r>
      <w:r>
        <w:t xml:space="preserve"> </w:t>
      </w:r>
      <w:r>
        <w:t xml:space="preserve">nodes have matching GBA references</w:t>
      </w:r>
    </w:p>
    <w:p>
      <w:pPr>
        <w:numPr>
          <w:ilvl w:val="0"/>
          <w:numId w:val="1001"/>
        </w:numPr>
        <w:pStyle w:val="Compact"/>
      </w:pPr>
      <w:r>
        <w:t xml:space="preserve">☐ Theme tokens in</w:t>
      </w:r>
      <w:r>
        <w:t xml:space="preserve"> </w:t>
      </w:r>
      <w:r>
        <w:rPr>
          <w:rStyle w:val="VerbatimChar"/>
        </w:rPr>
        <w:t xml:space="preserve">visual_data.yaml</w:t>
      </w:r>
      <w:r>
        <w:t xml:space="preserve"> </w:t>
      </w:r>
      <w:r>
        <w:t xml:space="preserve">map to GBA</w:t>
      </w:r>
      <w:r>
        <w:t xml:space="preserve"> </w:t>
      </w:r>
      <w:r>
        <w:rPr>
          <w:rStyle w:val="VerbatimChar"/>
        </w:rPr>
        <w:t xml:space="preserve">SEMANTIC_THEME.yaml</w:t>
      </w:r>
    </w:p>
    <w:p>
      <w:pPr>
        <w:numPr>
          <w:ilvl w:val="0"/>
          <w:numId w:val="1001"/>
        </w:numPr>
        <w:pStyle w:val="Compact"/>
      </w:pPr>
      <w:r>
        <w:t xml:space="preserve">☐ CI/CD pipelines complete without errors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2026-05-20T08:47:46Z</dcterms:created>
  <dcterms:modified xsi:type="dcterms:W3CDTF">2026-05-20T08:47:46Z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