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comprensione dei meccanismi molecolari che regolano le interazioni tra macromolecole e il loro significato biologico richiede la caratterizzazione della struttura primaria (sequenza). La sequenza primaria può essere consultata attraverso il sequenziamento diretto, che rappresenta l'unica metodica che garantisce il 99% di affidabilità dei test clinici. Questo metodo consente di rilevare le variazioni nella sequenza nucleotidica e determinare se si tratta di una mutazione o di un polimorfismo.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disponibilità della sequenza primaria di un gene ci consente anche di comprendere se la proteina codificata (in seguito alla variazione) è ancora funzionale o meno. Attualmente, il sequenziamento è una delle tecniche più ampiamente utilizzate nei laboratori di genetica ed è basato sul "reverse dot plot" (un grafico specifico per le mutazioni). Questa tecnica consente di caricare uno spot di nucleotidi contenente la mutazione, anziché l'intero genoma con enzimi di restrizione, e l'analisi viene eseguita utilizzando un DNA di controllo.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2741930</wp:posOffset>
            </wp:positionH>
            <wp:positionV relativeFrom="paragraph">
              <wp:posOffset>136525</wp:posOffset>
            </wp:positionV>
            <wp:extent cx="3298825" cy="2125980"/>
            <wp:effectExtent b="0" l="0" r="0" t="0"/>
            <wp:wrapSquare wrapText="bothSides" distB="0" distT="0" distL="114300" distR="114300"/>
            <wp:docPr descr="Immagine che contiene testo, Carattere, schermata, design&#10;&#10;Descrizione generata automaticamente" id="2" name="image4.png"/>
            <a:graphic>
              <a:graphicData uri="http://schemas.openxmlformats.org/drawingml/2006/picture">
                <pic:pic>
                  <pic:nvPicPr>
                    <pic:cNvPr descr="Immagine che contiene testo, Carattere, schermata, design&#10;&#10;Descrizione generata automaticament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125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un laboratorio di genetica medica, oltre al sequenziatore, si trovano anche altre tecniche, come_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Real-time PCR, che rappresenta un'alternativa alla classica PCR e consente di quantificare il prodotto.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tecnica MLPA (Multiplex Ligation-dependent Probe Amplification) consente di identificare grandi delezioni e duplicazioni che spesso sfuggono al sequenziamento di Sanger e alle tecnologie di sequenziamento di nuova generazione (NGS). Nonostante l'NGS, il sequenziamento di Sanger non viene sostituito perché i dati derivanti da un alto livello di processamento richiedono una conferma tramite il sequenziamento di Sanger.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 metodo di sequenziamento di Sanger è stato sviluppato da Frederick Sanger e colleghi presso l'Università di Cambridge nel 1977, e per questa scoperta Sanger ha ricevuto il premio Nobel. Questa tecnica consente di sequenziare 500.000 paia di basi al giorno e la lunghezza massima del frammento sequenziabile è di 600 basi. Ciò significa che se è necessario sequenziare un gene di grandi dimensioni, è necessario frammentarlo in regioni più piccole. </w:t>
      </w:r>
    </w:p>
    <w:p w:rsidR="00000000" w:rsidDel="00000000" w:rsidP="00000000" w:rsidRDefault="00000000" w:rsidRPr="00000000" w14:paraId="0000000A">
      <w:pPr>
        <w:rPr>
          <w:rFonts w:ascii="Times" w:cs="Times" w:eastAsia="Times" w:hAnsi="Times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 sequenziamento avviene a partire da un singolo frammento amplificato mediante PCR, successivamente la sequenza viene allineata a un riferimento e analizzata per identificare eventuali varianti nucleotidiche. Attraverso un elettroferogramma, è possibile determinare se la sequenza è normale o presenta una mutazione utilizzando un genome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SINTESI DNA IN VITRO</w:t>
      </w:r>
    </w:p>
    <w:p w:rsidR="00000000" w:rsidDel="00000000" w:rsidP="00000000" w:rsidRDefault="00000000" w:rsidRPr="00000000" w14:paraId="0000000D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 sequenziamento si basa sul principio e sulla biochimica della replicazione del DNA. Per effettuare il sequenziamento, è necessario avere un template (la sequenza di DNA da sequenziare) e un innesco (primer), che si lega al template per avviare la replicazione.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3836670</wp:posOffset>
            </wp:positionH>
            <wp:positionV relativeFrom="paragraph">
              <wp:posOffset>4445</wp:posOffset>
            </wp:positionV>
            <wp:extent cx="2542540" cy="1361440"/>
            <wp:effectExtent b="0" l="0" r="0" t="0"/>
            <wp:wrapSquare wrapText="bothSides" distB="0" distT="0" distL="114300" distR="114300"/>
            <wp:docPr descr="Immagine che contiene testo, schermata, Carattere&#10;&#10;Descrizione generata automaticamente" id="3" name="image5.png"/>
            <a:graphic>
              <a:graphicData uri="http://schemas.openxmlformats.org/drawingml/2006/picture">
                <pic:pic>
                  <pic:nvPicPr>
                    <pic:cNvPr descr="Immagine che contiene testo, schermata, Carattere&#10;&#10;Descrizione generata automaticament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361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 processo di sequenziamento inizia immergendo il template e l'innesco in una miscela di reagenti che contiene i nucleotidi trifosfato (dNTPs), che sono le unità costituenti del DNA (adenina, timina, citosina e guanina). Questi nucleotidi vengono aggiunti alla sequenza in crescita dall'enzima polimerasi.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Durante il sequenziamento, una Taq polimerasi termostabile viene utilizzata per sintetizzare la nuova elica di DNA. La Taq polimerasi è un enzima che può resistere alle temperature elevate richieste nelle reazioni di amplificazione del DNA.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 mano che la polimerasi si muove lungo il template riconosce il nucleotide complementare presente nel template e lo lega al filamento in crescita. Questo processo si ripete per ogni nucleotide nella sequenza, consentendo la formazione della nuova elica di DNA.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Durante la sintesi del DNA, vengono utilizzati dNTPs contrassegnati con fluorescenza di diversi colori per identificare i diversi tipi di nucleotidi incorporati nella sequenza. La fluorescenza emessa dai nucleotidi viene rilevata e registrata da un'apparecchiatura di sequenziamento, che produce un tracciato di picchi che corrispondono ai diversi nucleotidi.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Attraverso l'analisi dei picchi generati e l'interpretazione dei dati, è possibile determinare l'ordine preciso dei nucleotidi nella sequenza di DNA originale, permettendo così di ottenere la sequenza completa.</w:t>
      </w:r>
    </w:p>
    <w:p w:rsidR="00000000" w:rsidDel="00000000" w:rsidP="00000000" w:rsidRDefault="00000000" w:rsidRPr="00000000" w14:paraId="00000016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SEQUENZIAMENTO DI SANGER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0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Nella reazione di Sanger, l'allungamento del frammento di DNA avviene grazie ai legami fosfodiesterici in direzione 5'-3', in cui i nucleotidi vengono aggiunti al filamento in crescita tramite l'enzima polimerasi. È importante che i dNTPs utilizzati abbiano un gruppo -OH in posizione 3', che consente la successiva estensione della catena. Tuttavia, nella reazione di Sanger, una parte dei dNTPs viene sostituita con i ddNTPs (dideossinucleotidi), che hanno un gruppo H in posizione 3' invece del gruppo -OH. Questa sostituzione blocca l'estensione ulteriore della catena di DNA.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3435984</wp:posOffset>
            </wp:positionH>
            <wp:positionV relativeFrom="paragraph">
              <wp:posOffset>498244</wp:posOffset>
            </wp:positionV>
            <wp:extent cx="2684145" cy="1509395"/>
            <wp:effectExtent b="0" l="0" r="0" t="0"/>
            <wp:wrapSquare wrapText="bothSides" distB="0" distT="0" distL="114300" distR="114300"/>
            <wp:docPr descr="Immagine che contiene testo, schermata, diagramma, numero&#10;&#10;Descrizione generata automaticamente" id="10" name="image1.png"/>
            <a:graphic>
              <a:graphicData uri="http://schemas.openxmlformats.org/drawingml/2006/picture">
                <pic:pic>
                  <pic:nvPicPr>
                    <pic:cNvPr descr="Immagine che contiene testo, schermata, diagramma, numero&#10;&#10;Descrizione generata automaticament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1509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ind w:left="360" w:firstLine="0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Per questo motivo, il sequenziamento di Sanger è anche noto come metodo di terminazione di catena o metodo dei dideossinucleotidi. Nel contesto del sequenziamento di Sanger, se consideriamo quattro provette separate, i componenti che vengono aggiunti per la replicazione in vitro includono:</w:t>
      </w:r>
    </w:p>
    <w:p w:rsidR="00000000" w:rsidDel="00000000" w:rsidP="00000000" w:rsidRDefault="00000000" w:rsidRPr="00000000" w14:paraId="0000001B">
      <w:pPr>
        <w:ind w:left="360" w:firstLine="0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3796491</wp:posOffset>
            </wp:positionH>
            <wp:positionV relativeFrom="paragraph">
              <wp:posOffset>122382</wp:posOffset>
            </wp:positionV>
            <wp:extent cx="2130425" cy="1739265"/>
            <wp:effectExtent b="0" l="0" r="0" t="0"/>
            <wp:wrapSquare wrapText="bothSides" distB="0" distT="0" distL="114300" distR="114300"/>
            <wp:docPr descr="Immagine che contiene testo, schermata, diagramma, design&#10;&#10;Descrizione generata automaticamente" id="9" name="image11.png"/>
            <a:graphic>
              <a:graphicData uri="http://schemas.openxmlformats.org/drawingml/2006/picture">
                <pic:pic>
                  <pic:nvPicPr>
                    <pic:cNvPr descr="Immagine che contiene testo, schermata, diagramma, design&#10;&#10;Descrizione generata automaticamente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739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Molte copie del DNA template;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primer (a differenza della PCR, ne viene utilizzato solo uno poiché il sequenziamento avviene in avanti o all'indietro);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Taq polimerasi;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Abbondanti dNTPs;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piccola quantità di ddNTPs (uno per ogni nucleotide marcato). In passato, venivano utilizzati marcatori radioattivi, mentre oggi si utilizzano fluorocromi come marcatori.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" w:firstLine="0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Una volta ottenuta questa miscela, la polimerasi inizia il processo di polimerizzazione e si ferma quando incontra il nucleotide marcato corrispondente. Ciò porta alla formazione di frammenti sequenziati di diverse lunghezze, in modo simile alla generazione dei frammenti di restrizione discusso nelle lezioni precedenti.</w:t>
      </w:r>
    </w:p>
    <w:p w:rsidR="00000000" w:rsidDel="00000000" w:rsidP="00000000" w:rsidRDefault="00000000" w:rsidRPr="00000000" w14:paraId="00000023">
      <w:pPr>
        <w:ind w:left="360" w:firstLine="0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Poiché l'obiettivo è analizzare singoli nucleotidi, è necessario utilizzare gel di elettroforesi più sofisticati come il gel di poliacrilamide. I frammenti di DNA vengono caricati sul gel e iniziano la loro "corsa" dal polo negativo al polo positivo, con i frammenti più lunghi che migrano meno rispetto a quelli più corti (a causa del loro peso molecolare superiore). Il risultato della elettroforesi viene letto dall'estremità più pesante a quella più leggera (o viceversa). Ordinando i frammenti dal più leggero al più pesante, si ottiene la sequenza: A, T, G, C, A, C, T, T, G, A, T, C.</w:t>
      </w:r>
    </w:p>
    <w:p w:rsidR="00000000" w:rsidDel="00000000" w:rsidP="00000000" w:rsidRDefault="00000000" w:rsidRPr="00000000" w14:paraId="00000024">
      <w:pPr>
        <w:ind w:left="360" w:firstLine="0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SEQUENZIAMENTO DI SANGER AUTOMATIZZATO</w:t>
      </w:r>
    </w:p>
    <w:p w:rsidR="00000000" w:rsidDel="00000000" w:rsidP="00000000" w:rsidRDefault="00000000" w:rsidRPr="00000000" w14:paraId="00000026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Il sequenziamento, al giorno d’oggi, è automatizzato. Non vi sono 4 provettine separate, ma una sola dove si inseriscono i ddNTPs marcati con fluorocromi diversi. L’elettroforesi che ne deriva ci mostra come le sequenze siano discriminate da diversi colori e anche i diversi nucleotidi sono discriminati.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4212070</wp:posOffset>
            </wp:positionH>
            <wp:positionV relativeFrom="paragraph">
              <wp:posOffset>319290</wp:posOffset>
            </wp:positionV>
            <wp:extent cx="1669415" cy="1205230"/>
            <wp:effectExtent b="0" l="0" r="0" t="0"/>
            <wp:wrapSquare wrapText="bothSides" distB="0" distT="0" distL="114300" distR="114300"/>
            <wp:docPr descr="Immagine che contiene schermata, testo, Rettangolo, design&#10;&#10;Descrizione generata automaticamente" id="7" name="image8.png"/>
            <a:graphic>
              <a:graphicData uri="http://schemas.openxmlformats.org/drawingml/2006/picture">
                <pic:pic>
                  <pic:nvPicPr>
                    <pic:cNvPr descr="Immagine che contiene schermata, testo, Rettangolo, design&#10;&#10;Descrizione generata automaticamente" id="0" name="image8.png"/>
                    <pic:cNvPicPr preferRelativeResize="0"/>
                  </pic:nvPicPr>
                  <pic:blipFill>
                    <a:blip r:embed="rId10"/>
                    <a:srcRect b="51933" l="15323" r="2615" t="1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205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Il risultato dell’elettroforesi è consultabile dal computer.</w:t>
      </w:r>
    </w:p>
    <w:p w:rsidR="00000000" w:rsidDel="00000000" w:rsidP="00000000" w:rsidRDefault="00000000" w:rsidRPr="00000000" w14:paraId="00000029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Nello strumento è presente un laser che colpisce la “corsa” elettroforetica e riconosce il fluorocromo ed emetterà un segnale di una determinata lunghezza d’onda che corrisponde alla rappresentazione di un picco specifico nell’elettroferogramma (output).</w:t>
      </w:r>
    </w:p>
    <w:p w:rsidR="00000000" w:rsidDel="00000000" w:rsidP="00000000" w:rsidRDefault="00000000" w:rsidRPr="00000000" w14:paraId="0000002B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Nell’immagine a dx è rappresentato il dato grezzo che deriva dalla corsa elettroforetica.</w:t>
      </w:r>
    </w:p>
    <w:p w:rsidR="00000000" w:rsidDel="00000000" w:rsidP="00000000" w:rsidRDefault="00000000" w:rsidRPr="00000000" w14:paraId="0000002D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Ogni picco dell’elettroferogramma corrisponde ad un determinato nucleotide che ha un suo colore specifico (Timina: rosso; Adenina: verde; Citosina: blu; Guanina: nero).</w:t>
      </w:r>
    </w:p>
    <w:p w:rsidR="00000000" w:rsidDel="00000000" w:rsidP="00000000" w:rsidRDefault="00000000" w:rsidRPr="00000000" w14:paraId="0000002E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L’altezza dei picchi ci dà l’idea della qualità della base che è stata rilevata, ma non ci fornisce dati su una sua eventuale mutazione. I numeri rappresentano le paia di basi.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3035300</wp:posOffset>
            </wp:positionH>
            <wp:positionV relativeFrom="paragraph">
              <wp:posOffset>7216</wp:posOffset>
            </wp:positionV>
            <wp:extent cx="3084830" cy="1738630"/>
            <wp:effectExtent b="0" l="0" r="0" t="0"/>
            <wp:wrapSquare wrapText="bothSides" distB="0" distT="0" distL="114300" distR="114300"/>
            <wp:docPr descr="Immagine che contiene testo, diagramma, schermata, Piano&#10;&#10;Descrizione generata automaticamente" id="4" name="image9.png"/>
            <a:graphic>
              <a:graphicData uri="http://schemas.openxmlformats.org/drawingml/2006/picture">
                <pic:pic>
                  <pic:nvPicPr>
                    <pic:cNvPr descr="Immagine che contiene testo, diagramma, schermata, Piano&#10;&#10;Descrizione generata automaticamente" id="0" name="image9.png"/>
                    <pic:cNvPicPr preferRelativeResize="0"/>
                  </pic:nvPicPr>
                  <pic:blipFill>
                    <a:blip r:embed="rId11"/>
                    <a:srcRect b="9823" l="1" r="-9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738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La mutazione viene segnalata nella linea della sequenza nucleotidica grazie ad un quadratino rosso.</w:t>
      </w:r>
    </w:p>
    <w:p w:rsidR="00000000" w:rsidDel="00000000" w:rsidP="00000000" w:rsidRDefault="00000000" w:rsidRPr="00000000" w14:paraId="00000031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Nel caso in cui ci fosse una mutazione in omozigosi, essa non si leggerebbe sull’elettroferogramma e pertanto dobbiamo confrontare la nostra sequenza con una WT (perché la sequenza non porta errori).</w:t>
      </w:r>
    </w:p>
    <w:p w:rsidR="00000000" w:rsidDel="00000000" w:rsidP="00000000" w:rsidRDefault="00000000" w:rsidRPr="00000000" w14:paraId="00000032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Se ci fosse una mutazione in eterozigosi, all’interno di un solo nucleotide ci sarebbero due picchi sovrapposti. </w:t>
      </w:r>
    </w:p>
    <w:p w:rsidR="00000000" w:rsidDel="00000000" w:rsidP="00000000" w:rsidRDefault="00000000" w:rsidRPr="00000000" w14:paraId="00000033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La sequenza nucleotidica è la sovrapposizione della sequenza del gene dell’esone degli alleli dell’individuo.</w:t>
      </w:r>
    </w:p>
    <w:p w:rsidR="00000000" w:rsidDel="00000000" w:rsidP="00000000" w:rsidRDefault="00000000" w:rsidRPr="00000000" w14:paraId="00000034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FATTORI CHE INFLUENZANO LA QUALITÀ DEL DATO DI SEQUENZA</w:t>
      </w:r>
    </w:p>
    <w:p w:rsidR="00000000" w:rsidDel="00000000" w:rsidP="00000000" w:rsidRDefault="00000000" w:rsidRPr="00000000" w14:paraId="00000036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Qualità dello stampo di DNA;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Quantità dello stampo di DNA;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Sequence composition (è più difficile da sequenziare e denaturare se contiene molte GC che formano 3 legami a idrogeno a differenza di AT che ne formano 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Elettroforesi(capillare, polimero);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Primer design;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Purificazione della reazione di sequenza (togliere l’eccesso dei reagenti che non hanno più una funzione e potrebbero contaminare il processo).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QUALITY SCORE (usato soprattutto nell’NGS)</w:t>
      </w:r>
    </w:p>
    <w:p w:rsidR="00000000" w:rsidDel="00000000" w:rsidP="00000000" w:rsidRDefault="00000000" w:rsidRPr="00000000" w14:paraId="0000003F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 Phred Quality Score (Q score) è utilizzato per valutare l'accuratezza della chiamata delle basi durante il sequenziamento. Il Q score è un punteggio numerico che indica la probabilità che una base sequenziata sia chiamata erroneamente dalla macchina sequenziatrice.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2679065</wp:posOffset>
            </wp:positionH>
            <wp:positionV relativeFrom="paragraph">
              <wp:posOffset>7158</wp:posOffset>
            </wp:positionV>
            <wp:extent cx="3439795" cy="1676400"/>
            <wp:effectExtent b="0" l="0" r="0" t="0"/>
            <wp:wrapSquare wrapText="bothSides" distB="0" distT="0" distL="114300" distR="114300"/>
            <wp:docPr descr="Immagine che contiene testo, schermata, Carattere, numero&#10;&#10;Descrizione generata automaticamente" id="8" name="image2.png"/>
            <a:graphic>
              <a:graphicData uri="http://schemas.openxmlformats.org/drawingml/2006/picture">
                <pic:pic>
                  <pic:nvPicPr>
                    <pic:cNvPr descr="Immagine che contiene testo, schermata, Carattere, numero&#10;&#10;Descrizione generata automaticamente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Nel sequenziamento Sanger, è possibile valutare immediatamente se ci sono stati problemi durante la lettura delle basi. Nell'immagine a destra, è evidente un groviglio che indica una lettura inaccurata delle basi.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3712730</wp:posOffset>
            </wp:positionH>
            <wp:positionV relativeFrom="paragraph">
              <wp:posOffset>403744</wp:posOffset>
            </wp:positionV>
            <wp:extent cx="2036445" cy="2479675"/>
            <wp:effectExtent b="0" l="0" r="0" t="0"/>
            <wp:wrapSquare wrapText="bothSides" distB="0" distT="0" distL="114300" distR="114300"/>
            <wp:docPr descr="Immagine che contiene testo, schermata, software, linea&#10;&#10;Descrizione generata automaticamente" id="5" name="image10.png"/>
            <a:graphic>
              <a:graphicData uri="http://schemas.openxmlformats.org/drawingml/2006/picture">
                <pic:pic>
                  <pic:nvPicPr>
                    <pic:cNvPr descr="Immagine che contiene testo, schermata, software, linea&#10;&#10;Descrizione generata automaticamente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47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Nel sequenziamento di nuova generazione (NGS), la macchina di sequenziamento calcola il Quality Score. Il software Phred è in grado di leggere i cromatogrammi nel formato ABI, che è un formato proprietario molto diffuso della Applied Biosystems. In output, produce file con formati adatti alla visualizzazione, sintesi o elaborazione successiva da parte di altri programmi. Questi file possono essere letti e analizzati utilizzando diversi software. In particolare, Phred può produrre output nel formato FASTA, che viene spesso utilizzato nei sistemi di allineamento.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Phred applica metodi statistici per valutare la qualità di ogni base sequenziata. Analizza la posizione di ogni base e l'area di ogni picco nell'elettroferogramma, confrontandoli con le posizioni teoriche attese. Sulla base di questo confronto, viene calcolato un valore di affidabilità per ogni base. I Quality Score attribuiti da Phred sono associati in modo logaritmico alle probabilità di errore [Q = -10 log10(Pe)].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conclusione, il Phred Quality Score fornisce un'indicazione della qualità delle basi sequenziate, permettendo di valutare la probabilità di errori nelle chiamate delle basi e garantendo una stima della affidabilità dei dati di sequenziamento.</w:t>
      </w:r>
    </w:p>
    <w:p w:rsidR="00000000" w:rsidDel="00000000" w:rsidP="00000000" w:rsidRDefault="00000000" w:rsidRPr="00000000" w14:paraId="00000047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-346074</wp:posOffset>
            </wp:positionH>
            <wp:positionV relativeFrom="paragraph">
              <wp:posOffset>166370</wp:posOffset>
            </wp:positionV>
            <wp:extent cx="3567430" cy="2054860"/>
            <wp:effectExtent b="0" l="0" r="0" t="0"/>
            <wp:wrapSquare wrapText="bothSides" distB="0" distT="0" distL="114300" distR="114300"/>
            <wp:docPr descr="Immagine che contiene testo, schermata, Carattere, design&#10;&#10;Descrizione generata automaticamente" id="12" name="image7.png"/>
            <a:graphic>
              <a:graphicData uri="http://schemas.openxmlformats.org/drawingml/2006/picture">
                <pic:pic>
                  <pic:nvPicPr>
                    <pic:cNvPr descr="Immagine che contiene testo, schermata, Carattere, design&#10;&#10;Descrizione generata automaticamente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054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>
          <w:rFonts w:ascii="Times" w:cs="Times" w:eastAsia="Times" w:hAnsi="Times"/>
          <w:shd w:fill="faf9f8" w:val="clear"/>
        </w:rPr>
      </w:pPr>
      <w:r w:rsidDel="00000000" w:rsidR="00000000" w:rsidRPr="00000000">
        <w:rPr>
          <w:rFonts w:ascii="Times" w:cs="Times" w:eastAsia="Times" w:hAnsi="Times"/>
          <w:b w:val="1"/>
          <w:shd w:fill="faf9f8" w:val="clear"/>
          <w:rtl w:val="0"/>
        </w:rPr>
        <w:t xml:space="preserve">PROBLEMI POSSIBILI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N= non sa che nucleotide mettere in quel punto.</w:t>
      </w:r>
    </w:p>
    <w:p w:rsidR="00000000" w:rsidDel="00000000" w:rsidP="00000000" w:rsidRDefault="00000000" w:rsidRPr="00000000" w14:paraId="0000004D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346</wp:posOffset>
            </wp:positionV>
            <wp:extent cx="3989705" cy="2106930"/>
            <wp:effectExtent b="0" l="0" r="0" t="0"/>
            <wp:wrapSquare wrapText="bothSides" distB="0" distT="0" distL="114300" distR="114300"/>
            <wp:docPr descr="Immagine che contiene testo, schermata, design&#10;&#10;Descrizione generata automaticamente" id="11" name="image6.png"/>
            <a:graphic>
              <a:graphicData uri="http://schemas.openxmlformats.org/drawingml/2006/picture">
                <pic:pic>
                  <pic:nvPicPr>
                    <pic:cNvPr descr="Immagine che contiene testo, schermata, design&#10;&#10;Descrizione generata automaticamente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2106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Se ci sono delle frameshift, i picchi si sovrappongono.</w:t>
      </w:r>
    </w:p>
    <w:p w:rsidR="00000000" w:rsidDel="00000000" w:rsidP="00000000" w:rsidRDefault="00000000" w:rsidRPr="00000000" w14:paraId="00000051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Slargamenti o eccessiva altezza dei picchi possono essere dovuti a contaminazioni o di troppo DNA.</w:t>
      </w:r>
    </w:p>
    <w:p w:rsidR="00000000" w:rsidDel="00000000" w:rsidP="00000000" w:rsidRDefault="00000000" w:rsidRPr="00000000" w14:paraId="00000052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97328</wp:posOffset>
            </wp:positionV>
            <wp:extent cx="4046884" cy="2459452"/>
            <wp:effectExtent b="0" l="0" r="0" t="0"/>
            <wp:wrapSquare wrapText="bothSides" distB="0" distT="0" distL="114300" distR="114300"/>
            <wp:docPr descr="Immagine che contiene testo, schermata, diagramma, Carattere&#10;&#10;Descrizione generata automaticamente" id="6" name="image3.png"/>
            <a:graphic>
              <a:graphicData uri="http://schemas.openxmlformats.org/drawingml/2006/picture">
                <pic:pic>
                  <pic:nvPicPr>
                    <pic:cNvPr descr="Immagine che contiene testo, schermata, diagramma, Carattere&#10;&#10;Descrizione generata automaticamente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884" cy="2459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ESEMPIO DI REFERTO</w:t>
      </w:r>
    </w:p>
    <w:p w:rsidR="00000000" w:rsidDel="00000000" w:rsidP="00000000" w:rsidRDefault="00000000" w:rsidRPr="00000000" w14:paraId="00000066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-131732</wp:posOffset>
            </wp:positionH>
            <wp:positionV relativeFrom="paragraph">
              <wp:posOffset>78625</wp:posOffset>
            </wp:positionV>
            <wp:extent cx="3331845" cy="2570480"/>
            <wp:effectExtent b="0" l="0" r="0" t="0"/>
            <wp:wrapSquare wrapText="bothSides" distB="0" distT="0" distL="114300" distR="114300"/>
            <wp:docPr descr="Immagine che contiene testo, schermata, Carattere, linea&#10;&#10;Descrizione generata automaticamente" id="1" name="image12.png"/>
            <a:graphic>
              <a:graphicData uri="http://schemas.openxmlformats.org/drawingml/2006/picture">
                <pic:pic>
                  <pic:nvPicPr>
                    <pic:cNvPr descr="Immagine che contiene testo, schermata, Carattere, linea&#10;&#10;Descrizione generata automaticamente"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57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La professoressa ha sequenziato un campione con il codice ALS762, focalizzandosi sull'esone EX4F.</w:t>
      </w:r>
    </w:p>
    <w:p w:rsidR="00000000" w:rsidDel="00000000" w:rsidP="00000000" w:rsidRDefault="00000000" w:rsidRPr="00000000" w14:paraId="0000006A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Per ogni picco nel sequenziamento, è possibile ottenere i dati di affidabilità dal software. I picchi blu indicano basi affidabili, e maggiore è la loro profondità, maggiore è l'affidabilità. I picchi gialli rappresentano situazioni incerte, mentre i picchi rossi indicano anomalie.</w:t>
      </w:r>
    </w:p>
    <w:p w:rsidR="00000000" w:rsidDel="00000000" w:rsidP="00000000" w:rsidRDefault="00000000" w:rsidRPr="00000000" w14:paraId="0000006C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L'inizio della sequenza è spesso difficile da interpretare, ed è per questo che si osservano quadrati rossi in quella regione. Questa parte rappresenta il punto di inizio della reazione di sequenziamento. Per evitare problemi di lettura, i primer vengono posizionati in regioni più distanti all'interno dell'esone, di solito nell'introne adiacente. Questo accorgimento permette di superare le difficoltà iniziali e facilita la diagnosi. I "rumori di fondo" visibili nell'immagine possono essere ignorati.</w:t>
      </w:r>
    </w:p>
    <w:p w:rsidR="00000000" w:rsidDel="00000000" w:rsidP="00000000" w:rsidRDefault="00000000" w:rsidRPr="00000000" w14:paraId="0000006E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L'avviso rosso (M) può anche apparire quando due picchi sono molto vicini tra loro. Questo evento viene segnalato poiché è stato stabilito un intervallo minimo tra le basi per rilevare eventuali sovrapposizioni. Ad esempio, nella posizione 40, è possibile verificare se si tratta di una sovrapposizione o se i picchi sono semplicemente molto vicini confrontando la sequenza nucleotidica WT (wild type) nei database. Tuttavia, è probabile che si tratti di un errore del server, poiché i picchi hanno la stessa altezza. Se non sono presenti nella sequenza WT, allora indica una mutazione sovrapposta.</w:t>
      </w:r>
    </w:p>
    <w:p w:rsidR="00000000" w:rsidDel="00000000" w:rsidP="00000000" w:rsidRDefault="00000000" w:rsidRPr="00000000" w14:paraId="00000070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La professoressa consulta Ensembl per verificare la sequenza nucleotidica. Per trovare l'esone 4, si cerca il cDNA (complemento di DNA) dove è possibile visualizzare anche le varianti (come spiegato nelle lezioni precedenti). È importante prestare attenzione al genoma di riferimento utilizzato. Dalla ricerca emerge che la sequenza è normale e che il programma non ha correttamente distanziato i picchi.</w:t>
      </w:r>
    </w:p>
    <w:p w:rsidR="00000000" w:rsidDel="00000000" w:rsidP="00000000" w:rsidRDefault="00000000" w:rsidRPr="00000000" w14:paraId="00000072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La prima cosa da fare con la sequenza è individuare l'inizio dell'esone (in questo caso, CAT GTT alla POSIZIONE 87) e inserire uno slash (/) ogni 3 nucleotidi per suddividere la sequenza in codoni.</w:t>
      </w:r>
    </w:p>
    <w:p w:rsidR="00000000" w:rsidDel="00000000" w:rsidP="00000000" w:rsidRDefault="00000000" w:rsidRPr="00000000" w14:paraId="00000074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La mutazione identificata è un cambiamento di ASP91A. Il tempo richiesto per la relazione finale può aumentare se la mutazione è nuova e non viene trovata nei database.</w:t>
      </w:r>
    </w:p>
    <w:p w:rsidR="00000000" w:rsidDel="00000000" w:rsidP="00000000" w:rsidRDefault="00000000" w:rsidRPr="00000000" w14:paraId="00000076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Time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