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7F7F7F"/>
          <w:sz w:val="15"/>
          <w:szCs w:val="15"/>
        </w:rPr>
        <w:t xml:space="preserve">EQUITY RESEARCH  |  INDIA  |  PRIVATE BANKS  |  30 SEPTEMBER 2026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Karur Vysya Bank (NSE: KARURVYSYA)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Initiating coverage: best-in-class quality, but the price already treats FY26 as normal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700"/>
        <w:gridCol w:w="2150"/>
        <w:gridCol w:w="2150"/>
        <w:gridCol w:w="1700"/>
        <w:gridCol w:w="2206"/>
      </w:tblGrid>
      <w:tr>
        <w:trPr>
          <w:cantSplit/>
          <w:tblHeader w:val="false"/>
        </w:trPr>
        <w:tc>
          <w:tcPr>
            <w:tcW w:type="dxa" w:w="170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Rating: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HOLD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5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12-month fair value: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Rs300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5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CMP (30-Sep-26):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Rs325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Downside: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-8%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6"/>
            <w:shd w:fill="D9E2F3" w:color="auto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Probability-weighted: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Rs283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0"/>
        <w:gridCol w:w="4006"/>
      </w:tblGrid>
      <w:tr>
        <w:trPr>
          <w:cantSplit/>
          <w:tblHeader w:val="false"/>
        </w:trPr>
        <w:tc>
          <w:tcPr>
            <w:tcW w:type="dxa" w:w="5900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Investment summary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transformed bank.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Gross NPA fell from 5.96% (FY22) to 0.75% (FY26) with 96.5% provision coverage, and ROE reached ~19%. Q1 FY27 was stronger still: profit +45% YoY, ROA 2.11%.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But FY26 profits were flattered.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Recoveries from written-off loans added Rs679cr to FY26 other income (Rs638cr in FY25), about 40 bp of post-tax ROA. Management has signalled these cannot recur indefinitely; as they fade we see sustainable ROE of ~17%, not 19-20%.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Margins are near a cyclical high.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Q1 FY27 NIM was 4.26% against FY27 guidance of 3.75-3.80%. Repo-linked loans (55%) help if RBI hikes, but CASA has slipped from 33.2% (FY23) to 27.6%.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Valuation leaves little room.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At 1.75x Sep-27E adjusted book, the price implies a sustainable ROE of ~17.4% or a cost of equity of ~13.2%. Our P/ABV and residual income blend gives Rs300. Bull Rs372 (+14%) vs bear Rs159 (-51%): the skew is negative. Nearer Rs260 (~1.5x FY27E ABV) the base case would offer ~15% upside.</w:t>
            </w:r>
          </w:p>
        </w:tc>
        <w:tc>
          <w:tcPr>
            <w:tcW w:type="dxa" w:w="4006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tbl>
            <w:tblPr>
              <w:tblW w:type="dxa" w:w="3750"/>
              <w:tblBorders>
                <w:top w:val="single" w:color="BFBFBF" w:sz="4"/>
                <w:left w:val="none" w:color="FFFFFF" w:sz="0"/>
                <w:bottom w:val="single" w:color="BFBFBF" w:sz="4"/>
                <w:right w:val="none" w:color="FFFFFF" w:sz="0"/>
                <w:insideH w:val="single" w:color="BFBFBF" w:sz="4"/>
                <w:insideV w:val="none" w:color="FFFFFF" w:sz="0"/>
              </w:tblBorders>
            </w:tblPr>
            <w:tblGrid>
              <w:gridCol w:w="2100"/>
              <w:gridCol w:w="1650"/>
            </w:tblGrid>
            <w:tr>
              <w:trPr>
                <w:cantSplit/>
                <w:tblHeader/>
              </w:trPr>
              <w:tc>
                <w:tcPr>
                  <w:tcW w:type="dxa" w:w="2100"/>
                  <w:shd w:fill="1F3864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Key data</w:t>
                  </w:r>
                </w:p>
              </w:tc>
              <w:tc>
                <w:tcPr>
                  <w:tcW w:type="dxa" w:w="1650"/>
                  <w:shd w:fill="1F3864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Market cap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Rs31,364cr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Shares (post 1:5 bonus)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96.5cr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52-week range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Rs208-359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P/E FY27E / FY28E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10.5x / 10.1x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P/ABV Sep-27E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1.75x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FY26 ROE / ROA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19.1% / 1.93%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CRAR (FY26)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18.76%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Dividend yield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0.8%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10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Next results</w:t>
                  </w:r>
                </w:p>
              </w:tc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15-Oct-2026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tbl>
            <w:tblPr>
              <w:tblW w:type="dxa" w:w="3750"/>
              <w:tblBorders>
                <w:top w:val="single" w:color="BFBFBF" w:sz="4"/>
                <w:left w:val="none" w:color="FFFFFF" w:sz="0"/>
                <w:bottom w:val="single" w:color="BFBFBF" w:sz="4"/>
                <w:right w:val="none" w:color="FFFFFF" w:sz="0"/>
                <w:insideH w:val="single" w:color="BFBFBF" w:sz="4"/>
                <w:insideV w:val="none" w:color="FFFFFF" w:sz="0"/>
              </w:tblBorders>
            </w:tblPr>
            <w:tblGrid>
              <w:gridCol w:w="1650"/>
              <w:gridCol w:w="1050"/>
              <w:gridCol w:w="1050"/>
            </w:tblGrid>
            <w:tr>
              <w:trPr>
                <w:cantSplit/>
                <w:tblHeader/>
              </w:trPr>
              <w:tc>
                <w:tcPr>
                  <w:tcW w:type="dxa" w:w="1650"/>
                  <w:shd w:fill="1F3864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Scenario</w:t>
                  </w:r>
                </w:p>
              </w:tc>
              <w:tc>
                <w:tcPr>
                  <w:tcW w:type="dxa" w:w="1050"/>
                  <w:shd w:fill="1F3864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Value</w:t>
                  </w:r>
                </w:p>
              </w:tc>
              <w:tc>
                <w:tcPr>
                  <w:tcW w:type="dxa" w:w="1050"/>
                  <w:shd w:fill="1F3864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Upside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Bear (25%)</w:t>
                  </w:r>
                </w:p>
              </w:tc>
              <w:tc>
                <w:tcPr>
                  <w:tcW w:type="dxa" w:w="10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Rs159</w:t>
                  </w:r>
                </w:p>
              </w:tc>
              <w:tc>
                <w:tcPr>
                  <w:tcW w:type="dxa" w:w="10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-51%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Base (50%)</w:t>
                  </w:r>
                </w:p>
              </w:tc>
              <w:tc>
                <w:tcPr>
                  <w:tcW w:type="dxa" w:w="10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Rs300</w:t>
                  </w:r>
                </w:p>
              </w:tc>
              <w:tc>
                <w:tcPr>
                  <w:tcW w:type="dxa" w:w="10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-8%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6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Bull (25%)</w:t>
                  </w:r>
                </w:p>
              </w:tc>
              <w:tc>
                <w:tcPr>
                  <w:tcW w:type="dxa" w:w="10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Rs372</w:t>
                  </w:r>
                </w:p>
              </w:tc>
              <w:tc>
                <w:tcPr>
                  <w:tcW w:type="dxa" w:w="1050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16"/>
                      <w:szCs w:val="16"/>
                    </w:rPr>
                    <w:t xml:space="preserve">14%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Key financials (Rs crore)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406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34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 to March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FY25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FY26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FY27E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FY28E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FY29E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interest income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4,260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4,938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5,769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6,563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7,497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Pre-provision operating profit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3,213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4,075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4,575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5,025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5,663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profit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1,942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2,510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2,990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3,114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3,491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EPS (Rs)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20.1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36.2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Adjusted book value / share (Rs)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121.9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144.3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171.4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199.2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230.6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1.96%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2.02%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1.77%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17.7%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16.5%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P/E at Rs325 (x)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16.1x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12.5x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10.5x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10.1x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9.0x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P/ABV at Rs325 (x)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2.67x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2.25x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1.90x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1.63x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1.41x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4"/>
          <w:szCs w:val="14"/>
        </w:rPr>
        <w:t xml:space="preserve">Source: company filings, Screener.in, analyst estimates. ROA/ROE on model averages; EPS on 96.5cr shares. Student research exercise: not investment advice; the author is not a SEBI-registered research analyst.</w:t>
      </w:r>
    </w:p>
    <w:p>
      <w:pPr>
        <w:keepNext w:val="false"/>
        <w:spacing w:after="100" w:before="4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Investment thesis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1.1 From turnaround to top quartile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KVB spent FY19-FY22 cleaning up a corporate and MSME book. Gross NPA has since fallen to 0.75% and net NPA to 0.19%, with a provision coverage ratio of 96.5%. FY26 slippages were Rs744cr (0.75% of loans) and FY26 provisions included a Rs163cr prudential buffer. The book is now granular: retail, agriculture and MSME (RAM) are 86% of loans, unsecured lending is only 1.81%, and gold loans are ~30% (internal cap 35%).</w:t>
      </w:r>
    </w:p>
    <w:p>
      <w:pPr>
        <w:keepNext w:val="false"/>
        <w:spacing w:after="100" w:before="4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We assume a mild normalisation: gross NPA drifting to 1.10% by FY29E and credit cost rising from 0.55% (FY27E) to 0.70% as the RBI expected-credit-loss (ECL) framework arrives. Management expects minimal ECL impact (provisions already 1.77% of advances), and guides to credit cost below 1%.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1.2 The recovery tailwind fades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Recoveries from loans written off in earlier years were Rs638cr in FY25 and Rs679cr in FY26, booked in other income. They are real cash, but they come from a finite pool. Excluding them, FY26 ROA was ~1.56%, not 1.96% (model basis). We forecast recoveries of Rs550cr / Rs400cr / Rs300cr for FY27E-FY29E.</w:t>
      </w:r>
    </w:p>
    <w:p>
      <w:pPr>
        <w:keepNext w:val="false"/>
        <w:spacing w:after="100" w:before="4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Our FY27E ROA of 2.0% is above the 1.7-1.8% guidance because Q1 ran at 2.11%; we assume the guided normalisation arrives in FY28E (1.82%). The result is the key debate for the stock: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FY28E EPS grows only ~4%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as recoveries fall, credit cost rises and NIM eases.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1.3 Margins: the rate cycle helps now, deposits hurt later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Q1 FY27 NIM was 4.26% (yield on advances 10.01%, cost of deposits 5.45%). About 55% of loans are linked to the external benchmark (repo) rate, 29-30% are fixed and 14% MCLR-linked, so an RBI hike lifts yields quickly: the 10-year G-sec is ~7.1% and markets expect tightening. The structural headwind is funding: CASA fell from 33.2% (FY23) to 27.6% (Q1 FY27). Our calculated NIM (on loans plus investments) eases from 4.17% in FY27E to 4.04% in FY29E.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1.4 Growth is healthy, capital is ample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Advances grew 17.1% YoY in Q1 FY27 to Rs1,04,680cr; management guides 1-2% above industry growth, with 50 new branches in FY27 and no capital raise. We model 17% / 16% / 15% loan growth; our estimated CRAR stays near 19% through FY29E.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Business snapshot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Founded in 1916 in Karur, Tamil Nadu, KVB is a mid-size old private-sector bank with deposits of Rs1,22,587cr and a CASA ratio of 27.6% (Q1 FY27).</w:t>
      </w:r>
    </w:p>
    <w:tbl>
      <w:tblPr>
        <w:tblW w:type="dxa" w:w="800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4400"/>
        <w:gridCol w:w="2000"/>
        <w:gridCol w:w="1600"/>
      </w:tblGrid>
      <w:tr>
        <w:trPr>
          <w:cantSplit/>
          <w:tblHeader/>
        </w:trPr>
        <w:tc>
          <w:tcPr>
            <w:tcW w:type="dxa" w:w="44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Loan mix, Q1 FY27</w:t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Rs crore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Commercial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36,459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34.8%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Personal (incl. jewel loans)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27,770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26.5%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Agriculture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26,095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24.9%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Corporate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14,356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13.7%</w:t>
            </w:r>
          </w:p>
        </w:tc>
      </w:tr>
      <w:tr>
        <w:trPr>
          <w:cantSplit/>
          <w:tblHeader w:val="false"/>
        </w:trPr>
        <w:tc>
          <w:tcPr>
            <w:tcW w:type="dxa" w:w="44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advances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104,680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Loan pricing: EBLR (repo-linked) 55%, fixed 29-30%, MCLR 14%. Gold loans ~30% of the book across segments.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Five-year track record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406"/>
        <w:gridCol w:w="1300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34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Rs crore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FY22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FY23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FY24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FY25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FY26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Advances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57,568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64,168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74,423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84,491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98,754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Deposits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68,486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76,638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89,113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102,078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115,666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interest income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2,716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3,349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3,818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4,260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4,938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Other income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1,159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1,649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1,830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2,084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 of which write-off recoveries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679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Operating expenses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1,855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2,032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2,638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2,877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2,947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Pre-provision profit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1,630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2,476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2,829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3,213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4,075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Provisions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1,039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729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755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Net profit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673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1,106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1,605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1,942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2,510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Gross NPA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5.96%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2.27%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0.76%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0.75%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NPA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2.28%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0.74%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0.20%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0.19%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Provision coverage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92.1%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94.8%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96.8%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96.5%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CASA ratio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33.2%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30.4%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26.9%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Cost-to-income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53.2%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45.1%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47.2%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42.0%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ROA (model basis)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1.30%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1.64%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1.96%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–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13.7%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17.7%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</w:tr>
    </w:tbl>
    <w:p>
      <w:pPr>
        <w:keepNext/>
        <w:pageBreakBefore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Forecasts and key assumptions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106"/>
        <w:gridCol w:w="1300"/>
        <w:gridCol w:w="1300"/>
        <w:gridCol w:w="1300"/>
        <w:gridCol w:w="2900"/>
      </w:tblGrid>
      <w:tr>
        <w:trPr>
          <w:cantSplit/>
          <w:tblHeader/>
        </w:trPr>
        <w:tc>
          <w:tcPr>
            <w:tcW w:type="dxa" w:w="31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Driver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FY27E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FY28E</w:t>
            </w:r>
          </w:p>
        </w:tc>
        <w:tc>
          <w:tcPr>
            <w:tcW w:type="dxa" w:w="1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FY29E</w:t>
            </w:r>
          </w:p>
        </w:tc>
        <w:tc>
          <w:tcPr>
            <w:tcW w:type="dxa" w:w="29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FY27 guidance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Advances growth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1-2% above industry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Deposit growth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NIM (calc., loans + investments)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4.17%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4.08%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4.04%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3.75-3.80% (reported basis)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Cost-to-income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42.9%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&lt;50%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Credit cost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0.55%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0.70%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&lt;1%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Write-off recoveries (Rs cr)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guided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Gross NPA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0.85%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1.10%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&lt;1.5%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ROA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2.02%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1.82%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1.77%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1.7-1.8%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ROE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16.5%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CRAR (estimate)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19.1%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19.0%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18.8%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capital raise</w:t>
            </w:r>
          </w:p>
        </w:tc>
      </w:tr>
      <w:tr>
        <w:trPr>
          <w:cantSplit/>
          <w:tblHeader w:val="false"/>
        </w:trPr>
        <w:tc>
          <w:tcPr>
            <w:tcW w:type="dxa" w:w="31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EPS (Rs)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31.0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32.3</w:t>
            </w:r>
          </w:p>
        </w:tc>
        <w:tc>
          <w:tcPr>
            <w:tcW w:type="dxa" w:w="1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36.2</w:t>
            </w:r>
          </w:p>
        </w:tc>
        <w:tc>
          <w:tcPr>
            <w:tcW w:type="dxa" w:w="29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NIM is calculated on average loans plus investments, a narrower base than the reported figure (FY26 reported 3.97% excluding one-offs), so compare trends rather than levels.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Valuation: fair value Rs300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Banks are valued on book value because their raw material is capital. A bank that earns a return on equity (ROE) above its cost of equity (Ke) deserves to trade above book. We use the Gordon growth identity,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justified P/ABV = (ROE - g) / (Ke - g)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, applied to September-2027 adjusted book, and cross-check with a residual income (RI) model that values the bank as book value plus the present value of returns above Ke. We weight them 70/30.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406"/>
        <w:gridCol w:w="1800"/>
        <w:gridCol w:w="4700"/>
      </w:tblGrid>
      <w:tr>
        <w:trPr>
          <w:cantSplit/>
          <w:tblHeader/>
        </w:trPr>
        <w:tc>
          <w:tcPr>
            <w:tcW w:type="dxa" w:w="34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Input / output</w:t>
            </w:r>
          </w:p>
        </w:tc>
        <w:tc>
          <w:tcPr>
            <w:tcW w:type="dxa" w:w="18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47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Risk-free rate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7.10%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10-year G-sec, Sep-2026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Beta x equity risk premium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 x 6.5%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Market-like risk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 of equity (CAPM)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13.6%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Rf + beta x ERP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Long-term growth (g)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8.5%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Below nominal GDP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Sustainable ROE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16.8%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FY28E-FY29E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Justified P/ABV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1.63x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(ROE - g) / (Ke - g)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Adjusted book value, Sep-27E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Rs185.3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of FY27E and FY28E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Value: P/ABV method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Rs302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70% weight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Value: residual income method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Rs297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30% weight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12-month fair value</w:t>
            </w:r>
          </w:p>
        </w:tc>
        <w:tc>
          <w:tcPr>
            <w:tcW w:type="dxa" w:w="18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Rs300</w:t>
            </w:r>
          </w:p>
        </w:tc>
        <w:tc>
          <w:tcPr>
            <w:tcW w:type="dxa" w:w="47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vs CMP Rs325: -7.7%</w:t>
            </w:r>
          </w:p>
        </w:tc>
      </w:tr>
    </w:tbl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5.1 What the price implies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At Rs325 the stock trades at 1.75x Sep-27E adjusted book. Solving the same formula backwards, that multiple is justified only if sustainable ROE is ~17.4% (we assume 16.8%) or if investors accept a cost of equity of ~13.2% (we use 13.6%). The gap is small, which is why we rate the stock HOLD rather than SELL: the market is not wrong about quality, it is simply paying for FY26 returns lasting.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5.2 Sensitivity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Value per share (Rs), P/ABV method: cost of equity (rows) x long-term growth (columns)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906"/>
        <w:gridCol w:w="16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1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 \ g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7.5%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8.0%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8.5%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9.0%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9.5%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12.6%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436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13.1%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376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13.6%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291</w:t>
            </w:r>
          </w:p>
        </w:tc>
        <w:tc>
          <w:tcPr>
            <w:tcW w:type="dxa" w:w="16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14.1%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294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14.6%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265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Value per share (Rs): change in NIM (rows, bp) x change in credit cost (columns, bp), FY28E basis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1906"/>
        <w:gridCol w:w="1600"/>
        <w:gridCol w:w="1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1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NIM \ credit cost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-20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-10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+15</w:t>
            </w:r>
          </w:p>
        </w:tc>
        <w:tc>
          <w:tcPr>
            <w:tcW w:type="dxa" w:w="1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+30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-30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173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291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197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315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221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339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1600"/>
            <w:shd w:fill="FFF2C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246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363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344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326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270</w:t>
            </w:r>
          </w:p>
        </w:tc>
      </w:tr>
      <w:tr>
        <w:trPr>
          <w:cantSplit/>
          <w:tblHeader w:val="false"/>
        </w:trPr>
        <w:tc>
          <w:tcPr>
            <w:tcW w:type="dxa" w:w="1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387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368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350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322</w:t>
            </w:r>
          </w:p>
        </w:tc>
        <w:tc>
          <w:tcPr>
            <w:tcW w:type="dxa" w:w="1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294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A 10 bp change in NIM moves value by ~Rs24; a 10 bp change in credit cost moves it by ~Rs19. Both are first-order estimates holding the FY28E balance sheet constant.</w:t>
      </w:r>
    </w:p>
    <w:p>
      <w:pPr>
        <w:keepNext/>
        <w:pageBreakBefore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5.3 Scenarios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906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9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</w:t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Bull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Loan and deposit growth vs 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-4 pp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+2 pp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Yield on earning assets vs 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-15 bp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+10 bp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Credit cost vs 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+30 bp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-10 bp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Write-off recoveries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x0.6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x1.2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FY28E net profit (Rs cr)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2,335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3,114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3,506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FY28E ROA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1.44%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1.82%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2%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FY28E ROE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13.5%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18.8%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12-month value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Rs159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Rs300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Rs372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Upside / (downside)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-51.2%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-7.7%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14.4%</w:t>
            </w:r>
          </w:p>
        </w:tc>
      </w:tr>
      <w:tr>
        <w:trPr>
          <w:cantSplit/>
          <w:tblHeader w:val="false"/>
        </w:trPr>
        <w:tc>
          <w:tcPr>
            <w:tcW w:type="dxa" w:w="39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Probability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50%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</w:tr>
    </w:tbl>
    <w:p>
      <w:pPr>
        <w:keepNext w:val="false"/>
        <w:spacing w:after="100" w:before="4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The bear case is not a crisis: credit cost of 0.85-1.00% is still within guidance. It falls hard because value is non-linear in ROE: at a 13.5% ROE, close to the 13.6% cost of equity, a bank is worth roughly its book value. That asymmetry, not a weak franchise, is the reason for caution.</w:t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5.4 Relative valuation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5306"/>
        <w:gridCol w:w="2000"/>
        <w:gridCol w:w="2600"/>
      </w:tblGrid>
      <w:tr>
        <w:trPr>
          <w:cantSplit/>
          <w:tblHeader/>
        </w:trPr>
        <w:tc>
          <w:tcPr>
            <w:tcW w:type="dxa" w:w="53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Bank</w:t>
            </w:r>
          </w:p>
        </w:tc>
        <w:tc>
          <w:tcPr>
            <w:tcW w:type="dxa" w:w="20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P/E (TTM, x)</w:t>
            </w:r>
          </w:p>
        </w:tc>
        <w:tc>
          <w:tcPr>
            <w:tcW w:type="dxa" w:w="26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Q1 FY27 profit growth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Karur Vysya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11.2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44.9%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City Union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15.2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25.1%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Tamilnad Mercantile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35.0%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South Indian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8.4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17.3%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8.5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43.3%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DCB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8.3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35.6%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CSB Bank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8.2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26.5%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Federal Bank (mid-cap)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17.0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36.8%</w:t>
            </w:r>
          </w:p>
        </w:tc>
      </w:tr>
      <w:tr>
        <w:trPr>
          <w:cantSplit/>
          <w:tblHeader w:val="false"/>
        </w:trPr>
        <w:tc>
          <w:tcPr>
            <w:tcW w:type="dxa" w:w="53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Median, 10 private banks below Rs35,000cr market cap</w:t>
            </w:r>
          </w:p>
        </w:tc>
        <w:tc>
          <w:tcPr>
            <w:tcW w:type="dxa" w:w="20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9.0</w:t>
            </w:r>
          </w:p>
        </w:tc>
        <w:tc>
          <w:tcPr>
            <w:tcW w:type="dxa" w:w="26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KVB trades at a ~24% P/E premium to smaller private banks, which its higher ROA supports. Across our 20-bank sample, one-quarter profit growth explains almost none of the variation in P/E (R-squared ~0), which is why we anchor on P/B versus ROE rather than on P/E. Source: Screener.in industry table, 30-Sep-2026.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Risks to our view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Upside risks: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recoveries stay near Rs600cr a year for longer; RBI hikes keep NIM above 4.2% through FY28; loan growth above 18% with stable credit cost; a re-rating towards City Union Bank-like multiples.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sz w:val="19"/>
          <w:szCs w:val="19"/>
        </w:rPr>
        <w:t xml:space="preserve">Downside risks: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a fall in gold prices (gold loans ~30% of the book) hitting collateral cover; faster deposit repricing or CASA erosion; MSME stress as ECL provisioning starts; RBI rate cuts, which would compress yields quickly on a 55% repo-linked book.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What to watch on 15 October 2026 (Q2 FY27 results)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406"/>
        <w:gridCol w:w="2100"/>
        <w:gridCol w:w="2100"/>
        <w:gridCol w:w="2300"/>
      </w:tblGrid>
      <w:tr>
        <w:trPr>
          <w:cantSplit/>
          <w:tblHeader/>
        </w:trPr>
        <w:tc>
          <w:tcPr>
            <w:tcW w:type="dxa" w:w="34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Rs crore (Screener basis)</w:t>
            </w:r>
          </w:p>
        </w:tc>
        <w:tc>
          <w:tcPr>
            <w:tcW w:type="dxa" w:w="21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Q2 FY26 actual</w:t>
            </w:r>
          </w:p>
        </w:tc>
        <w:tc>
          <w:tcPr>
            <w:tcW w:type="dxa" w:w="21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Q1 FY27 actual</w:t>
            </w:r>
          </w:p>
        </w:tc>
        <w:tc>
          <w:tcPr>
            <w:tcW w:type="dxa" w:w="230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Q2 FY27E (model-implied)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interest income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1,261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1,422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1,449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Other income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442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575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Profit before tax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743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1,005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994</w:t>
            </w:r>
          </w:p>
        </w:tc>
      </w:tr>
      <w:tr>
        <w:trPr>
          <w:cantSplit/>
          <w:tblHeader w:val="false"/>
        </w:trPr>
        <w:tc>
          <w:tcPr>
            <w:tcW w:type="dxa" w:w="34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profit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574</w:t>
            </w:r>
          </w:p>
        </w:tc>
        <w:tc>
          <w:tcPr>
            <w:tcW w:type="dxa" w:w="21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756</w:t>
            </w:r>
          </w:p>
        </w:tc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745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Q2 FY27E spreads the model's FY27E remainder evenly over Q2-Q4. Signposts: (1) NIM versus 4.26% in Q1; (2) recoveries inside other income; (3) slippages and the gold-loan share; (4) CASA ratio and cost of deposits. A profit clearly above Rs745cr driven by recoveries would test our fade thesis.</w:t>
      </w:r>
    </w:p>
    <w:p>
      <w:pPr>
        <w:keepNext/>
        <w:pBdr>
          <w:bottom w:val="single" w:color="1F3864" w:sz="6" w:space="1"/>
        </w:pBd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Appendix: financial summary (Rs crore)</w:t>
      </w:r>
    </w:p>
    <w:tbl>
      <w:tblPr>
        <w:tblW w:type="dxa" w:w="990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3006"/>
        <w:gridCol w:w="1150"/>
        <w:gridCol w:w="1150"/>
        <w:gridCol w:w="1150"/>
        <w:gridCol w:w="1150"/>
        <w:gridCol w:w="1150"/>
        <w:gridCol w:w="1150"/>
      </w:tblGrid>
      <w:tr>
        <w:trPr>
          <w:cantSplit/>
          <w:tblHeader/>
        </w:trPr>
        <w:tc>
          <w:tcPr>
            <w:tcW w:type="dxa" w:w="3006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 to March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FY24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FY25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FY26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FY27E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FY28E</w:t>
            </w:r>
          </w:p>
        </w:tc>
        <w:tc>
          <w:tcPr>
            <w:tcW w:type="dxa" w:w="1150"/>
            <w:shd w:fill="1F3864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FY29E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Advances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74,423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84,491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98,754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115,542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134,029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154,133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Deposits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89,113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102,078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115,666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134,173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154,969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178,215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Investments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22,344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23,831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29,020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33,543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38,742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44,554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worth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10,040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11,930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14,108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16,799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19,601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22,743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 assets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105,453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119,368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136,604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158,753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183,558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211,294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interest income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3,818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4,260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4,938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5,769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6,563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7,497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Other income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1,649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1,830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2,084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2,166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2,258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2,418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Operating expenses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2,638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2,877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2,947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3,360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3,796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4,252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Provisions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755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589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1,009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Net profit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1,605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1,942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2,510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2,990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3,114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3,491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EPS (Rs)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16.6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32.3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36.2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 value / share (Rs)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104.0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123.6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146.2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174.1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203.1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235.7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Dividend / share (Rs)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2.0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Credit-deposit ratio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83.5%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82.8%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85.4%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86.1%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86.5%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86.5%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Cost-to-income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48.3%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47.2%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42.0%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42.3%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43.0%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42.9%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ROA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1.64%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1.73%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1.96%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2.02%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1.82%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1.77%</w:t>
            </w:r>
          </w:p>
        </w:tc>
      </w:tr>
      <w:tr>
        <w:trPr>
          <w:cantSplit/>
          <w:tblHeader w:val="false"/>
        </w:trPr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ROE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17.2%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17.7%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19.3%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17.1%</w:t>
            </w:r>
          </w:p>
        </w:tc>
        <w:tc>
          <w:tcPr>
            <w:tcW w:type="dxa" w:w="115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16.5%</w:t>
            </w:r>
          </w:p>
        </w:tc>
      </w:tr>
    </w:tbl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Disclosures and sources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This report is a student research exercise prepared for learning and portfolio purposes by Gaurav Waghmode (FRM Part 1). It is not investment advice or a recommendation to buy or sell any security. The author is not registered with SEBI as a research analyst or investment adviser. Author holding in KVB: [state none / details].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16"/>
          <w:szCs w:val="16"/>
        </w:rPr>
        <w:t xml:space="preserve">Sources: Screener.in financials, quarterly results and industry table (30-Sep-2026); KVB Q4 FY26 earnings call (7-May-2026); Q1 FY27 results coverage (July 2026); KVB annual reports; Trading Economics (India 10-year G-sec, Sep-2026). Model: KVB_Initiation_Model.xlsx (base case). History from filings; FY27E-FY29E are the author's estimates.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4"/>
        <w:szCs w:val="14"/>
      </w:rPr>
      <w:t xml:space="preserve">Karur Vysya Bank | Initiating coverage | Student research exercise - not investment advice  |  Page </w:t>
    </w:r>
    <w:r>
      <w:rPr>
        <w:rFonts w:ascii="Arial" w:cs="Arial" w:eastAsia="Arial" w:hAnsi="Arial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8366a8dc15f80660b71c40b4e13c658735786d.png"/><Relationship Id="rId9" Type="http://schemas.openxmlformats.org/officeDocument/2006/relationships/image" Target="media/257363228af7f55f7b167998d688315065dcefed.png"/><Relationship Id="rId10" Type="http://schemas.openxmlformats.org/officeDocument/2006/relationships/image" Target="media/a82658293ad012aba95957348e2f0aa58160665f.png"/><Relationship Id="rId11" Type="http://schemas.openxmlformats.org/officeDocument/2006/relationships/image" Target="media/f7826816b527d83811660d3d5bf514ce8798e27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Karur Vysya Bank - Initiating coverage</dc:title>
  <dc:creator>Gaurav Waghmode</dc:creator>
  <cp:lastModifiedBy>Un-named</cp:lastModifiedBy>
  <cp:revision>1</cp:revision>
  <dcterms:created xsi:type="dcterms:W3CDTF">2026-09-30T20:05:15.145Z</dcterms:created>
  <dcterms:modified xsi:type="dcterms:W3CDTF">2026-09-30T20:05:15.150Z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