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 w:val="false"/>
          <w:bCs w:val="false"/>
          <w:color w:val="7F7F7F"/>
          <w:sz w:val="15"/>
          <w:szCs w:val="15"/>
        </w:rPr>
        <w:t xml:space="preserve">EQUITY VALUATION MEMO  |  INDIA  |  AUTO COMPONENTS  |  29 SEPTEMBER 2026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M M Forgings (NSE: MMFL)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What does Rs612 price in? A DCF and reverse-DCF memo, read alongside my credit rating of the same company</w:t>
      </w:r>
    </w:p>
    <w:tbl>
      <w:tblPr>
        <w:tblW w:type="dxa" w:w="9906"/>
        <w:tblBorders>
          <w:top w:val="single" w:color="BFBFBF" w:sz="4"/>
          <w:left w:val="none" w:color="FFFFFF" w:sz="0"/>
          <w:bottom w:val="single" w:color="BFBFBF" w:sz="4"/>
          <w:right w:val="none" w:color="FFFFFF" w:sz="0"/>
          <w:insideH w:val="single" w:color="BFBFBF" w:sz="4"/>
          <w:insideV w:val="none" w:color="FFFFFF" w:sz="0"/>
        </w:tblBorders>
      </w:tblPr>
      <w:tblGrid>
        <w:gridCol w:w="1500"/>
        <w:gridCol w:w="1900"/>
        <w:gridCol w:w="1800"/>
        <w:gridCol w:w="1900"/>
        <w:gridCol w:w="2806"/>
      </w:tblGrid>
      <w:tr>
        <w:trPr>
          <w:cantSplit/>
          <w:tblHeader w:val="false"/>
        </w:trPr>
        <w:tc>
          <w:tcPr>
            <w:tcW w:type="dxa" w:w="1500"/>
            <w:shd w:fill="D9E2F3" w:color="auto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CMP: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Rs612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shd w:fill="D9E2F3" w:color="auto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Base-case DCF: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Rs118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shd w:fill="D9E2F3" w:color="auto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Justified P/B: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Rs167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shd w:fill="D9E2F3" w:color="auto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EV/EBITDA (TTM):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14.3x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806"/>
            <w:shd w:fill="D9E2F3" w:color="auto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ROIC FY26 vs WACC: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6.2% vs 13.0%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Summary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sz w:val="19"/>
          <w:szCs w:val="19"/>
        </w:rPr>
        <w:t xml:space="preserve">Lenders are comfortable.</w:t>
      </w: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CARE rates MMFL A (Stable). EBITDA covers interest 3.6x, and in our base case net debt/EBITDA falls from 4.4x (FY26) to 1.9x by FY31E as the capex cycle ends.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sz w:val="19"/>
          <w:szCs w:val="19"/>
        </w:rPr>
        <w:t xml:space="preserve">Equity investors are paying for a different company.</w:t>
      </w: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At Rs612 the stock trades at 14.3x trailing EV/EBITDA, 29.8x FY26 earnings and 3.0x book, while FY26 post-tax return on invested capital (ROIC) was 6.2% against a 12.95% cost of capital.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sz w:val="19"/>
          <w:szCs w:val="19"/>
        </w:rPr>
        <w:t xml:space="preserve">Our base case does not bridge the gap.</w:t>
      </w: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With ~12% revenue CAGR, EBITDA margin back to 19.5% and capex easing, ROIC reaches 10.0% by FY31E, still below WACC. The DCF gives Rs118 per share and a justified P/B cross-check Rs167.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sz w:val="19"/>
          <w:szCs w:val="19"/>
        </w:rPr>
        <w:t xml:space="preserve">What has to be true for Rs612.</w:t>
      </w: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An exit multiple of ~12.1x EV/EBITDA in FY31 (our assumptions imply 4.6x) and ~26% ROIC on today's capital base. Even at an 11% discount rate, the price needs roughly 18% revenue CAGR with 24% EBITDA margins for five years, against a 9% CAGR (FY22-FY26) and a 19.4% peak margin.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sz w:val="19"/>
          <w:szCs w:val="19"/>
        </w:rPr>
        <w:t xml:space="preserve">Returns hinge on sentiment, not cash.</w:t>
      </w: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Buying the whole firm at today's EV and selling at 14.3x EBITDA in March 2031 returns 16.9% a year on our base cash flows; at 10x, 8.4%; at 6x, -2.5%.</w:t>
      </w:r>
    </w:p>
    <w:tbl>
      <w:tblPr>
        <w:tblW w:type="dxa" w:w="9906"/>
        <w:tblBorders>
          <w:top w:val="single" w:color="BFBFBF" w:sz="4"/>
          <w:left w:val="none" w:color="FFFFFF" w:sz="0"/>
          <w:bottom w:val="single" w:color="BFBFBF" w:sz="4"/>
          <w:right w:val="none" w:color="FFFFFF" w:sz="0"/>
          <w:insideH w:val="single" w:color="BFBFBF" w:sz="4"/>
          <w:insideV w:val="none" w:color="FFFFFF" w:sz="0"/>
        </w:tblBorders>
      </w:tblPr>
      <w:tblGrid>
        <w:gridCol w:w="2906"/>
        <w:gridCol w:w="1150"/>
        <w:gridCol w:w="1150"/>
        <w:gridCol w:w="1150"/>
        <w:gridCol w:w="1150"/>
        <w:gridCol w:w="1150"/>
        <w:gridCol w:w="1250"/>
      </w:tblGrid>
      <w:tr>
        <w:trPr>
          <w:cantSplit/>
          <w:tblHeader/>
        </w:trPr>
        <w:tc>
          <w:tcPr>
            <w:tcW w:type="dxa" w:w="2906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Rs crore</w:t>
            </w:r>
          </w:p>
        </w:tc>
        <w:tc>
          <w:tcPr>
            <w:tcW w:type="dxa" w:w="115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FY24</w:t>
            </w:r>
          </w:p>
        </w:tc>
        <w:tc>
          <w:tcPr>
            <w:tcW w:type="dxa" w:w="115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FY25</w:t>
            </w:r>
          </w:p>
        </w:tc>
        <w:tc>
          <w:tcPr>
            <w:tcW w:type="dxa" w:w="115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FY26</w:t>
            </w:r>
          </w:p>
        </w:tc>
        <w:tc>
          <w:tcPr>
            <w:tcW w:type="dxa" w:w="115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FY27E</w:t>
            </w:r>
          </w:p>
        </w:tc>
        <w:tc>
          <w:tcPr>
            <w:tcW w:type="dxa" w:w="115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FY29E</w:t>
            </w:r>
          </w:p>
        </w:tc>
        <w:tc>
          <w:tcPr>
            <w:tcW w:type="dxa" w:w="125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FY31E</w:t>
            </w:r>
          </w:p>
        </w:tc>
      </w:tr>
      <w:tr>
        <w:trPr>
          <w:cantSplit/>
          <w:tblHeader w:val="false"/>
        </w:trPr>
        <w:tc>
          <w:tcPr>
            <w:tcW w:type="dxa" w:w="29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Revenue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1,563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1,525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1,590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1,829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2,335</w:t>
            </w:r>
          </w:p>
        </w:tc>
        <w:tc>
          <w:tcPr>
            <w:tcW w:type="dxa" w:w="12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2,799</w:t>
            </w:r>
          </w:p>
        </w:tc>
      </w:tr>
      <w:tr>
        <w:trPr>
          <w:cantSplit/>
          <w:tblHeader w:val="false"/>
        </w:trPr>
        <w:tc>
          <w:tcPr>
            <w:tcW w:type="dxa" w:w="29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EBITDA margin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18.7%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19.4%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17.6%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18.5%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19.5%</w:t>
            </w:r>
          </w:p>
        </w:tc>
        <w:tc>
          <w:tcPr>
            <w:tcW w:type="dxa" w:w="12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19.5%</w:t>
            </w:r>
          </w:p>
        </w:tc>
      </w:tr>
      <w:tr>
        <w:trPr>
          <w:cantSplit/>
          <w:tblHeader w:val="false"/>
        </w:trPr>
        <w:tc>
          <w:tcPr>
            <w:tcW w:type="dxa" w:w="29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Net profit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135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123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99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152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174</w:t>
            </w:r>
          </w:p>
        </w:tc>
        <w:tc>
          <w:tcPr>
            <w:tcW w:type="dxa" w:w="12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223</w:t>
            </w:r>
          </w:p>
        </w:tc>
      </w:tr>
      <w:tr>
        <w:trPr>
          <w:cantSplit/>
          <w:tblHeader w:val="false"/>
        </w:trPr>
        <w:tc>
          <w:tcPr>
            <w:tcW w:type="dxa" w:w="29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EPS (Rs)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28.0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25.5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20.5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31.4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36.1</w:t>
            </w:r>
          </w:p>
        </w:tc>
        <w:tc>
          <w:tcPr>
            <w:tcW w:type="dxa" w:w="12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46.3</w:t>
            </w:r>
          </w:p>
        </w:tc>
      </w:tr>
      <w:tr>
        <w:trPr>
          <w:cantSplit/>
          <w:tblHeader w:val="false"/>
        </w:trPr>
        <w:tc>
          <w:tcPr>
            <w:tcW w:type="dxa" w:w="29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Pre-tax ROCE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14.7%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11.9%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9.0%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12.7%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12.5%</w:t>
            </w:r>
          </w:p>
        </w:tc>
        <w:tc>
          <w:tcPr>
            <w:tcW w:type="dxa" w:w="12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13.2%</w:t>
            </w:r>
          </w:p>
        </w:tc>
      </w:tr>
      <w:tr>
        <w:trPr>
          <w:cantSplit/>
          <w:tblHeader w:val="false"/>
        </w:trPr>
        <w:tc>
          <w:tcPr>
            <w:tcW w:type="dxa" w:w="29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Post-tax ROIC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10.1%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8.1%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6.2%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7.1%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9.0%</w:t>
            </w:r>
          </w:p>
        </w:tc>
        <w:tc>
          <w:tcPr>
            <w:tcW w:type="dxa" w:w="12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10.0%</w:t>
            </w:r>
          </w:p>
        </w:tc>
      </w:tr>
      <w:tr>
        <w:trPr>
          <w:cantSplit/>
          <w:tblHeader w:val="false"/>
        </w:trPr>
        <w:tc>
          <w:tcPr>
            <w:tcW w:type="dxa" w:w="29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Net debt / EBITDA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3.1x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4.0x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4.4x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3.6x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2.6x</w:t>
            </w:r>
          </w:p>
        </w:tc>
        <w:tc>
          <w:tcPr>
            <w:tcW w:type="dxa" w:w="12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1.9x</w:t>
            </w:r>
          </w:p>
        </w:tc>
      </w:tr>
      <w:tr>
        <w:trPr>
          <w:cantSplit/>
          <w:tblHeader w:val="false"/>
        </w:trPr>
        <w:tc>
          <w:tcPr>
            <w:tcW w:type="dxa" w:w="29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EBITDA / interest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7.0x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4.9x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3.6x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3.9x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5.3x</w:t>
            </w:r>
          </w:p>
        </w:tc>
        <w:tc>
          <w:tcPr>
            <w:tcW w:type="dxa" w:w="12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6.3x</w:t>
            </w:r>
          </w:p>
        </w:tc>
      </w:tr>
    </w:tbl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4"/>
          <w:szCs w:val="14"/>
        </w:rPr>
        <w:t xml:space="preserve">Consolidated. History from Screener.in; FY27E-FY31E are the author's base-case estimates. FY27E profit includes a Rs63cr one-off gain booked in Q1 FY27.</w:t>
      </w:r>
    </w:p>
    <w:p>
      <w:pPr>
        <w:keepNext w:val="false"/>
        <w:spacing w:after="100" w:before="40"/>
        <w:jc w:val="center"/>
      </w:pPr>
      <w:r>
        <w:drawing>
          <wp:inline distT="0" distB="0" distL="0" distR="0">
            <wp:extent cx="5715000" cy="2495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pBdr>
          <w:bottom w:val="single" w:color="1F3864" w:sz="6" w:space="1"/>
        </w:pBd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 How we got here: a capex cycle funded with debt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Between FY22 and FY26 revenue grew 39% (Rs1,140cr to Rs1,590cr) but EBITDA only 34%, while borrowings rose 80% to Rs1,235cr. MMFL spent ~Rs1,150cr on capex over five years; Rs335cr of capital work-in-progress was still waiting to be commissioned at FY26. Working capital absorbed cash too: net working capital rose from 37% of revenue (FY23) to 48% (FY26) as debtor days went from 49 to 96. Reported free cash flow was negative in three of five years (cumulative -Rs283cr).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Two accounting points to check in the annual report before relying on any of this: the effective tax rate was 14% in FY26 and ~1% in Q1 FY27 (Screener flags a low tax rate), and some interest appears to be capitalised into work-in-progress, which flatters reported interest cost. Our forecast uses the full 25.17% tax rate and a 7% interest rate.</w:t>
      </w:r>
    </w:p>
    <w:p>
      <w:pPr>
        <w:keepNext/>
        <w:pBdr>
          <w:bottom w:val="single" w:color="1F3864" w:sz="6" w:space="1"/>
        </w:pBd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 Base-case forecast</w:t>
      </w:r>
    </w:p>
    <w:tbl>
      <w:tblPr>
        <w:tblW w:type="dxa" w:w="9906"/>
        <w:tblBorders>
          <w:top w:val="single" w:color="BFBFBF" w:sz="4"/>
          <w:left w:val="none" w:color="FFFFFF" w:sz="0"/>
          <w:bottom w:val="single" w:color="BFBFBF" w:sz="4"/>
          <w:right w:val="none" w:color="FFFFFF" w:sz="0"/>
          <w:insideH w:val="single" w:color="BFBFBF" w:sz="4"/>
          <w:insideV w:val="none" w:color="FFFFFF" w:sz="0"/>
        </w:tblBorders>
      </w:tblPr>
      <w:tblGrid>
        <w:gridCol w:w="3406"/>
        <w:gridCol w:w="1300"/>
        <w:gridCol w:w="1300"/>
        <w:gridCol w:w="1300"/>
        <w:gridCol w:w="1300"/>
        <w:gridCol w:w="1300"/>
      </w:tblGrid>
      <w:tr>
        <w:trPr>
          <w:cantSplit/>
          <w:tblHeader/>
        </w:trPr>
        <w:tc>
          <w:tcPr>
            <w:tcW w:type="dxa" w:w="3406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Driver</w:t>
            </w:r>
          </w:p>
        </w:tc>
        <w:tc>
          <w:tcPr>
            <w:tcW w:type="dxa" w:w="13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FY27E</w:t>
            </w:r>
          </w:p>
        </w:tc>
        <w:tc>
          <w:tcPr>
            <w:tcW w:type="dxa" w:w="13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FY28E</w:t>
            </w:r>
          </w:p>
        </w:tc>
        <w:tc>
          <w:tcPr>
            <w:tcW w:type="dxa" w:w="13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FY29E</w:t>
            </w:r>
          </w:p>
        </w:tc>
        <w:tc>
          <w:tcPr>
            <w:tcW w:type="dxa" w:w="13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FY30E</w:t>
            </w:r>
          </w:p>
        </w:tc>
        <w:tc>
          <w:tcPr>
            <w:tcW w:type="dxa" w:w="13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FY31E</w:t>
            </w:r>
          </w:p>
        </w:tc>
      </w:tr>
      <w:tr>
        <w:trPr>
          <w:cantSplit/>
          <w:tblHeader w:val="false"/>
        </w:trPr>
        <w:tc>
          <w:tcPr>
            <w:tcW w:type="dxa" w:w="34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Revenue growth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15%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14%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12%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10%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9%</w:t>
            </w:r>
          </w:p>
        </w:tc>
      </w:tr>
      <w:tr>
        <w:trPr>
          <w:cantSplit/>
          <w:tblHeader w:val="false"/>
        </w:trPr>
        <w:tc>
          <w:tcPr>
            <w:tcW w:type="dxa" w:w="34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EBITDA margin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18.5%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19.0%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19.5%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19.5%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19.5%</w:t>
            </w:r>
          </w:p>
        </w:tc>
      </w:tr>
      <w:tr>
        <w:trPr>
          <w:cantSplit/>
          <w:tblHeader w:val="false"/>
        </w:trPr>
        <w:tc>
          <w:tcPr>
            <w:tcW w:type="dxa" w:w="34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Capex, % of revenue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10.0%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9.0%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8.5%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8.5%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8.5%</w:t>
            </w:r>
          </w:p>
        </w:tc>
      </w:tr>
      <w:tr>
        <w:trPr>
          <w:cantSplit/>
          <w:tblHeader w:val="false"/>
        </w:trPr>
        <w:tc>
          <w:tcPr>
            <w:tcW w:type="dxa" w:w="34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Net working capital, % of revenue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46%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44%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42%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41%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40%</w:t>
            </w:r>
          </w:p>
        </w:tc>
      </w:tr>
      <w:tr>
        <w:trPr>
          <w:cantSplit/>
          <w:tblHeader w:val="false"/>
        </w:trPr>
        <w:tc>
          <w:tcPr>
            <w:tcW w:type="dxa" w:w="34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Free cash flow to firm (Rs cr)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68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118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126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149</w:t>
            </w:r>
          </w:p>
        </w:tc>
      </w:tr>
      <w:tr>
        <w:trPr>
          <w:cantSplit/>
          <w:tblHeader w:val="false"/>
        </w:trPr>
        <w:tc>
          <w:tcPr>
            <w:tcW w:type="dxa" w:w="34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Post-tax ROIC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7.1%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8.0%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9.0%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9.5%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10.0%</w:t>
            </w:r>
          </w:p>
        </w:tc>
      </w:tr>
    </w:tbl>
    <w:p>
      <w:pPr>
        <w:keepNext w:val="false"/>
        <w:spacing w:after="100" w:before="40"/>
        <w:jc w:val="center"/>
      </w:pPr>
      <w:r>
        <w:drawing>
          <wp:inline distT="0" distB="0" distL="0" distR="0">
            <wp:extent cx="49530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00" w:before="40"/>
        <w:jc w:val="center"/>
      </w:pPr>
      <w:r>
        <w:drawing>
          <wp:inline distT="0" distB="0" distL="0" distR="0">
            <wp:extent cx="49530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pBdr>
          <w:bottom w:val="single" w:color="1F3864" w:sz="6" w:space="1"/>
        </w:pBd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 DCF valuation</w:t>
      </w:r>
    </w:p>
    <w:tbl>
      <w:tblPr>
        <w:tblW w:type="dxa" w:w="9906"/>
        <w:tblBorders>
          <w:top w:val="single" w:color="BFBFBF" w:sz="4"/>
          <w:left w:val="none" w:color="FFFFFF" w:sz="0"/>
          <w:bottom w:val="single" w:color="BFBFBF" w:sz="4"/>
          <w:right w:val="none" w:color="FFFFFF" w:sz="0"/>
          <w:insideH w:val="single" w:color="BFBFBF" w:sz="4"/>
          <w:insideV w:val="none" w:color="FFFFFF" w:sz="0"/>
        </w:tblBorders>
      </w:tblPr>
      <w:tblGrid>
        <w:gridCol w:w="3406"/>
        <w:gridCol w:w="1600"/>
        <w:gridCol w:w="4900"/>
      </w:tblGrid>
      <w:tr>
        <w:trPr>
          <w:cantSplit/>
          <w:tblHeader/>
        </w:trPr>
        <w:tc>
          <w:tcPr>
            <w:tcW w:type="dxa" w:w="3406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WACC build</w:t>
            </w:r>
          </w:p>
        </w:tc>
        <w:tc>
          <w:tcPr>
            <w:tcW w:type="dxa" w:w="16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  <w:tc>
          <w:tcPr>
            <w:tcW w:type="dxa" w:w="49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</w:t>
            </w:r>
          </w:p>
        </w:tc>
      </w:tr>
      <w:tr>
        <w:trPr>
          <w:cantSplit/>
          <w:tblHeader w:val="false"/>
        </w:trPr>
        <w:tc>
          <w:tcPr>
            <w:tcW w:type="dxa" w:w="34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Risk-free rate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7.10%</w:t>
            </w:r>
          </w:p>
        </w:tc>
        <w:tc>
          <w:tcPr>
            <w:tcW w:type="dxa" w:w="49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10-year G-sec, Sep-2026</w:t>
            </w:r>
          </w:p>
        </w:tc>
      </w:tr>
      <w:tr>
        <w:trPr>
          <w:cantSplit/>
          <w:tblHeader w:val="false"/>
        </w:trPr>
        <w:tc>
          <w:tcPr>
            <w:tcW w:type="dxa" w:w="34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Unlevered beta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1.00</w:t>
            </w:r>
          </w:p>
        </w:tc>
        <w:tc>
          <w:tcPr>
            <w:tcW w:type="dxa" w:w="49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Cyclical auto supplier</w:t>
            </w:r>
          </w:p>
        </w:tc>
      </w:tr>
      <w:tr>
        <w:trPr>
          <w:cantSplit/>
          <w:tblHeader w:val="false"/>
        </w:trPr>
        <w:tc>
          <w:tcPr>
            <w:tcW w:type="dxa" w:w="34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Debt / equity (market values)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0.42x</w:t>
            </w:r>
          </w:p>
        </w:tc>
        <w:tc>
          <w:tcPr>
            <w:tcW w:type="dxa" w:w="49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Rs1,235cr debt / Rs2,950cr market cap</w:t>
            </w:r>
          </w:p>
        </w:tc>
      </w:tr>
      <w:tr>
        <w:trPr>
          <w:cantSplit/>
          <w:tblHeader w:val="false"/>
        </w:trPr>
        <w:tc>
          <w:tcPr>
            <w:tcW w:type="dxa" w:w="34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Levered beta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1.31</w:t>
            </w:r>
          </w:p>
        </w:tc>
        <w:tc>
          <w:tcPr>
            <w:tcW w:type="dxa" w:w="49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Relevered for leverage (Hamada)</w:t>
            </w:r>
          </w:p>
        </w:tc>
      </w:tr>
      <w:tr>
        <w:trPr>
          <w:cantSplit/>
          <w:tblHeader w:val="false"/>
        </w:trPr>
        <w:tc>
          <w:tcPr>
            <w:tcW w:type="dxa" w:w="34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Cost of equity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15.64%</w:t>
            </w:r>
          </w:p>
        </w:tc>
        <w:tc>
          <w:tcPr>
            <w:tcW w:type="dxa" w:w="49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 + levered beta x 6.5% ERP</w:t>
            </w:r>
          </w:p>
        </w:tc>
      </w:tr>
      <w:tr>
        <w:trPr>
          <w:cantSplit/>
          <w:tblHeader w:val="false"/>
        </w:trPr>
        <w:tc>
          <w:tcPr>
            <w:tcW w:type="dxa" w:w="34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Post-tax cost of debt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6.55%</w:t>
            </w:r>
          </w:p>
        </w:tc>
        <w:tc>
          <w:tcPr>
            <w:tcW w:type="dxa" w:w="49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8.75% pre-tax</w:t>
            </w:r>
          </w:p>
        </w:tc>
      </w:tr>
      <w:tr>
        <w:trPr>
          <w:cantSplit/>
          <w:tblHeader w:val="false"/>
        </w:trPr>
        <w:tc>
          <w:tcPr>
            <w:tcW w:type="dxa" w:w="34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Weights (equity / debt)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70.5% / 29.5%</w:t>
            </w:r>
          </w:p>
        </w:tc>
        <w:tc>
          <w:tcPr>
            <w:tcW w:type="dxa" w:w="49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Market values</w:t>
            </w:r>
          </w:p>
        </w:tc>
      </w:tr>
      <w:tr>
        <w:trPr>
          <w:cantSplit/>
          <w:tblHeader w:val="false"/>
        </w:trPr>
        <w:tc>
          <w:tcPr>
            <w:tcW w:type="dxa" w:w="34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WACC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12.95%</w:t>
            </w:r>
          </w:p>
        </w:tc>
        <w:tc>
          <w:tcPr>
            <w:tcW w:type="dxa" w:w="49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/>
      </w:r>
    </w:p>
    <w:tbl>
      <w:tblPr>
        <w:tblW w:type="dxa" w:w="9906"/>
        <w:tblBorders>
          <w:top w:val="single" w:color="BFBFBF" w:sz="4"/>
          <w:left w:val="none" w:color="FFFFFF" w:sz="0"/>
          <w:bottom w:val="single" w:color="BFBFBF" w:sz="4"/>
          <w:right w:val="none" w:color="FFFFFF" w:sz="0"/>
          <w:insideH w:val="single" w:color="BFBFBF" w:sz="4"/>
          <w:insideV w:val="none" w:color="FFFFFF" w:sz="0"/>
        </w:tblBorders>
      </w:tblPr>
      <w:tblGrid>
        <w:gridCol w:w="6906"/>
        <w:gridCol w:w="3000"/>
      </w:tblGrid>
      <w:tr>
        <w:trPr>
          <w:cantSplit/>
          <w:tblHeader/>
        </w:trPr>
        <w:tc>
          <w:tcPr>
            <w:tcW w:type="dxa" w:w="6906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DCF summary (Rs crore)</w:t>
            </w:r>
          </w:p>
        </w:tc>
        <w:tc>
          <w:tcPr>
            <w:tcW w:type="dxa" w:w="30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rPr>
          <w:cantSplit/>
          <w:tblHeader w:val="false"/>
        </w:trPr>
        <w:tc>
          <w:tcPr>
            <w:tcW w:type="dxa" w:w="69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PV of FCFF, H2 FY27E-FY31E</w:t>
            </w:r>
          </w:p>
        </w:tc>
        <w:tc>
          <w:tcPr>
            <w:tcW w:type="dxa" w:w="3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344</w:t>
            </w:r>
          </w:p>
        </w:tc>
      </w:tr>
      <w:tr>
        <w:trPr>
          <w:cantSplit/>
          <w:tblHeader w:val="false"/>
        </w:trPr>
        <w:tc>
          <w:tcPr>
            <w:tcW w:type="dxa" w:w="69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Terminal value at Mar-31 (g 6%, RONIC 15%)</w:t>
            </w:r>
          </w:p>
        </w:tc>
        <w:tc>
          <w:tcPr>
            <w:tcW w:type="dxa" w:w="3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2,510</w:t>
            </w:r>
          </w:p>
        </w:tc>
      </w:tr>
      <w:tr>
        <w:trPr>
          <w:cantSplit/>
          <w:tblHeader w:val="false"/>
        </w:trPr>
        <w:tc>
          <w:tcPr>
            <w:tcW w:type="dxa" w:w="69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PV of terminal value (81% of EV)</w:t>
            </w:r>
          </w:p>
        </w:tc>
        <w:tc>
          <w:tcPr>
            <w:tcW w:type="dxa" w:w="3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1,451</w:t>
            </w:r>
          </w:p>
        </w:tc>
      </w:tr>
      <w:tr>
        <w:trPr>
          <w:cantSplit/>
          <w:tblHeader w:val="false"/>
        </w:trPr>
        <w:tc>
          <w:tcPr>
            <w:tcW w:type="dxa" w:w="69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Enterprise value</w:t>
            </w:r>
          </w:p>
        </w:tc>
        <w:tc>
          <w:tcPr>
            <w:tcW w:type="dxa" w:w="3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1,794</w:t>
            </w:r>
          </w:p>
        </w:tc>
      </w:tr>
      <w:tr>
        <w:trPr>
          <w:cantSplit/>
          <w:tblHeader w:val="false"/>
        </w:trPr>
        <w:tc>
          <w:tcPr>
            <w:tcW w:type="dxa" w:w="69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Less borrowings, add investments</w:t>
            </w:r>
          </w:p>
        </w:tc>
        <w:tc>
          <w:tcPr>
            <w:tcW w:type="dxa" w:w="3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-1,235 / +10</w:t>
            </w:r>
          </w:p>
        </w:tc>
      </w:tr>
      <w:tr>
        <w:trPr>
          <w:cantSplit/>
          <w:tblHeader w:val="false"/>
        </w:trPr>
        <w:tc>
          <w:tcPr>
            <w:tcW w:type="dxa" w:w="69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Equity value</w:t>
            </w:r>
          </w:p>
        </w:tc>
        <w:tc>
          <w:tcPr>
            <w:tcW w:type="dxa" w:w="3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569</w:t>
            </w:r>
          </w:p>
        </w:tc>
      </w:tr>
      <w:tr>
        <w:trPr>
          <w:cantSplit/>
          <w:tblHeader w:val="false"/>
        </w:trPr>
        <w:tc>
          <w:tcPr>
            <w:tcW w:type="dxa" w:w="69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Value per share (Rs)</w:t>
            </w:r>
          </w:p>
        </w:tc>
        <w:tc>
          <w:tcPr>
            <w:tcW w:type="dxa" w:w="3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118</w:t>
            </w:r>
          </w:p>
        </w:tc>
      </w:tr>
      <w:tr>
        <w:trPr>
          <w:cantSplit/>
          <w:tblHeader w:val="false"/>
        </w:trPr>
        <w:tc>
          <w:tcPr>
            <w:tcW w:type="dxa" w:w="69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Implied EV/EBITDA FY27E / exit multiple FY31E</w:t>
            </w:r>
          </w:p>
        </w:tc>
        <w:tc>
          <w:tcPr>
            <w:tcW w:type="dxa" w:w="3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5.3x / 4.6x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The terminal value uses the value-driver formula, TV = NOPAT x (1 - g/RONIC) / (WACC - g): growth only adds value when new investment earns more than the cost of capital. Cross-check: sustainable ROE of 13.0% against a 15.6% cost of equity justifies 0.72x book, or Rs167 per share.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Value per share (Rs): WACC (rows) x terminal growth (columns)</w:t>
      </w:r>
    </w:p>
    <w:tbl>
      <w:tblPr>
        <w:tblW w:type="dxa" w:w="9906"/>
        <w:tblBorders>
          <w:top w:val="single" w:color="BFBFBF" w:sz="4"/>
          <w:left w:val="none" w:color="FFFFFF" w:sz="0"/>
          <w:bottom w:val="single" w:color="BFBFBF" w:sz="4"/>
          <w:right w:val="none" w:color="FFFFFF" w:sz="0"/>
          <w:insideH w:val="single" w:color="BFBFBF" w:sz="4"/>
          <w:insideV w:val="none" w:color="FFFFFF" w:sz="0"/>
        </w:tblBorders>
      </w:tblPr>
      <w:tblGrid>
        <w:gridCol w:w="1906"/>
        <w:gridCol w:w="1600"/>
        <w:gridCol w:w="1600"/>
        <w:gridCol w:w="1600"/>
        <w:gridCol w:w="1600"/>
        <w:gridCol w:w="1600"/>
      </w:tblGrid>
      <w:tr>
        <w:trPr>
          <w:cantSplit/>
          <w:tblHeader/>
        </w:trPr>
        <w:tc>
          <w:tcPr>
            <w:tcW w:type="dxa" w:w="1906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WACC \ g</w:t>
            </w:r>
          </w:p>
        </w:tc>
        <w:tc>
          <w:tcPr>
            <w:tcW w:type="dxa" w:w="16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4%</w:t>
            </w:r>
          </w:p>
        </w:tc>
        <w:tc>
          <w:tcPr>
            <w:tcW w:type="dxa" w:w="16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5%</w:t>
            </w:r>
          </w:p>
        </w:tc>
        <w:tc>
          <w:tcPr>
            <w:tcW w:type="dxa" w:w="16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6%</w:t>
            </w:r>
          </w:p>
        </w:tc>
        <w:tc>
          <w:tcPr>
            <w:tcW w:type="dxa" w:w="16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7%</w:t>
            </w:r>
          </w:p>
        </w:tc>
        <w:tc>
          <w:tcPr>
            <w:tcW w:type="dxa" w:w="16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8%</w:t>
            </w:r>
          </w:p>
        </w:tc>
      </w:tr>
      <w:tr>
        <w:trPr>
          <w:cantSplit/>
          <w:tblHeader w:val="false"/>
        </w:trPr>
        <w:tc>
          <w:tcPr>
            <w:tcW w:type="dxa" w:w="19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11%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208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236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273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328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418</w:t>
            </w:r>
          </w:p>
        </w:tc>
      </w:tr>
      <w:tr>
        <w:trPr>
          <w:cantSplit/>
          <w:tblHeader w:val="false"/>
        </w:trPr>
        <w:tc>
          <w:tcPr>
            <w:tcW w:type="dxa" w:w="19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12%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145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161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181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209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249</w:t>
            </w:r>
          </w:p>
        </w:tc>
      </w:tr>
      <w:tr>
        <w:trPr>
          <w:cantSplit/>
          <w:tblHeader w:val="false"/>
        </w:trPr>
        <w:tc>
          <w:tcPr>
            <w:tcW w:type="dxa" w:w="19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13%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95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104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115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129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148</w:t>
            </w:r>
          </w:p>
        </w:tc>
      </w:tr>
      <w:tr>
        <w:trPr>
          <w:cantSplit/>
          <w:tblHeader w:val="false"/>
        </w:trPr>
        <w:tc>
          <w:tcPr>
            <w:tcW w:type="dxa" w:w="19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14%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56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61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66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73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81</w:t>
            </w:r>
          </w:p>
        </w:tc>
      </w:tr>
      <w:tr>
        <w:trPr>
          <w:cantSplit/>
          <w:tblHeader w:val="false"/>
        </w:trPr>
        <w:tc>
          <w:tcPr>
            <w:tcW w:type="dxa" w:w="19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15%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26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28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32</w:t>
            </w:r>
          </w:p>
        </w:tc>
      </w:tr>
    </w:tbl>
    <w:p>
      <w:pPr>
        <w:keepNext/>
        <w:pBdr>
          <w:bottom w:val="single" w:color="1F3864" w:sz="6" w:space="1"/>
        </w:pBd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 Reverse DCF: what Rs612 requires</w:t>
      </w:r>
    </w:p>
    <w:tbl>
      <w:tblPr>
        <w:tblW w:type="dxa" w:w="9906"/>
        <w:tblBorders>
          <w:top w:val="single" w:color="BFBFBF" w:sz="4"/>
          <w:left w:val="none" w:color="FFFFFF" w:sz="0"/>
          <w:bottom w:val="single" w:color="BFBFBF" w:sz="4"/>
          <w:right w:val="none" w:color="FFFFFF" w:sz="0"/>
          <w:insideH w:val="single" w:color="BFBFBF" w:sz="4"/>
          <w:insideV w:val="none" w:color="FFFFFF" w:sz="0"/>
        </w:tblBorders>
      </w:tblPr>
      <w:tblGrid>
        <w:gridCol w:w="6906"/>
        <w:gridCol w:w="3000"/>
      </w:tblGrid>
      <w:tr>
        <w:trPr>
          <w:cantSplit/>
          <w:tblHeader/>
        </w:trPr>
        <w:tc>
          <w:tcPr>
            <w:tcW w:type="dxa" w:w="6906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Holding our cash flows and WACC, the market price implies</w:t>
            </w:r>
          </w:p>
        </w:tc>
        <w:tc>
          <w:tcPr>
            <w:tcW w:type="dxa" w:w="30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rPr>
          <w:cantSplit/>
          <w:tblHeader w:val="false"/>
        </w:trPr>
        <w:tc>
          <w:tcPr>
            <w:tcW w:type="dxa" w:w="69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Market enterprise value (Rs cr)</w:t>
            </w:r>
          </w:p>
        </w:tc>
        <w:tc>
          <w:tcPr>
            <w:tcW w:type="dxa" w:w="3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4,175</w:t>
            </w:r>
          </w:p>
        </w:tc>
      </w:tr>
      <w:tr>
        <w:trPr>
          <w:cantSplit/>
          <w:tblHeader w:val="false"/>
        </w:trPr>
        <w:tc>
          <w:tcPr>
            <w:tcW w:type="dxa" w:w="69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Terminal value needed at Mar-31 (Rs cr)</w:t>
            </w:r>
          </w:p>
        </w:tc>
        <w:tc>
          <w:tcPr>
            <w:tcW w:type="dxa" w:w="3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6,628</w:t>
            </w:r>
          </w:p>
        </w:tc>
      </w:tr>
      <w:tr>
        <w:trPr>
          <w:cantSplit/>
          <w:tblHeader w:val="false"/>
        </w:trPr>
        <w:tc>
          <w:tcPr>
            <w:tcW w:type="dxa" w:w="69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Exit EV/EBITDA on FY31E</w:t>
            </w:r>
          </w:p>
        </w:tc>
        <w:tc>
          <w:tcPr>
            <w:tcW w:type="dxa" w:w="3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12.1x</w:t>
            </w:r>
          </w:p>
        </w:tc>
      </w:tr>
      <w:tr>
        <w:trPr>
          <w:cantSplit/>
          <w:tblHeader w:val="false"/>
        </w:trPr>
        <w:tc>
          <w:tcPr>
            <w:tcW w:type="dxa" w:w="69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FY32E NOPAT needed vs our base</w:t>
            </w:r>
          </w:p>
        </w:tc>
        <w:tc>
          <w:tcPr>
            <w:tcW w:type="dxa" w:w="3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2.6x</w:t>
            </w:r>
          </w:p>
        </w:tc>
      </w:tr>
      <w:tr>
        <w:trPr>
          <w:cantSplit/>
          <w:tblHeader w:val="false"/>
        </w:trPr>
        <w:tc>
          <w:tcPr>
            <w:tcW w:type="dxa" w:w="69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Implied FY31E ROIC on our invested capital</w:t>
            </w:r>
          </w:p>
        </w:tc>
        <w:tc>
          <w:tcPr>
            <w:tcW w:type="dxa" w:w="3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25.7%</w:t>
            </w:r>
          </w:p>
        </w:tc>
      </w:tr>
      <w:tr>
        <w:trPr>
          <w:cantSplit/>
          <w:tblHeader w:val="false"/>
        </w:trPr>
        <w:tc>
          <w:tcPr>
            <w:tcW w:type="dxa" w:w="69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Implied perpetual growth of FY31E cash flow</w:t>
            </w:r>
          </w:p>
        </w:tc>
        <w:tc>
          <w:tcPr>
            <w:tcW w:type="dxa" w:w="3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10.5%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Value per share (Rs) at an 11% WACC: revenue CAGR FY26-FY31 (rows) x steady EBITDA margin (columns). Shaded = at or above Rs612.</w:t>
      </w:r>
    </w:p>
    <w:tbl>
      <w:tblPr>
        <w:tblW w:type="dxa" w:w="9906"/>
        <w:tblBorders>
          <w:top w:val="single" w:color="BFBFBF" w:sz="4"/>
          <w:left w:val="none" w:color="FFFFFF" w:sz="0"/>
          <w:bottom w:val="single" w:color="BFBFBF" w:sz="4"/>
          <w:right w:val="none" w:color="FFFFFF" w:sz="0"/>
          <w:insideH w:val="single" w:color="BFBFBF" w:sz="4"/>
          <w:insideV w:val="none" w:color="FFFFFF" w:sz="0"/>
        </w:tblBorders>
      </w:tblPr>
      <w:tblGrid>
        <w:gridCol w:w="1906"/>
        <w:gridCol w:w="1333"/>
        <w:gridCol w:w="1333"/>
        <w:gridCol w:w="1333"/>
        <w:gridCol w:w="1333"/>
        <w:gridCol w:w="1334"/>
        <w:gridCol w:w="1334"/>
      </w:tblGrid>
      <w:tr>
        <w:trPr>
          <w:cantSplit/>
          <w:tblHeader/>
        </w:trPr>
        <w:tc>
          <w:tcPr>
            <w:tcW w:type="dxa" w:w="1906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CAGR \ margin</w:t>
            </w:r>
          </w:p>
        </w:tc>
        <w:tc>
          <w:tcPr>
            <w:tcW w:type="dxa" w:w="1333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16%</w:t>
            </w:r>
          </w:p>
        </w:tc>
        <w:tc>
          <w:tcPr>
            <w:tcW w:type="dxa" w:w="1333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18%</w:t>
            </w:r>
          </w:p>
        </w:tc>
        <w:tc>
          <w:tcPr>
            <w:tcW w:type="dxa" w:w="1333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20%</w:t>
            </w:r>
          </w:p>
        </w:tc>
        <w:tc>
          <w:tcPr>
            <w:tcW w:type="dxa" w:w="1333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22%</w:t>
            </w:r>
          </w:p>
        </w:tc>
        <w:tc>
          <w:tcPr>
            <w:tcW w:type="dxa" w:w="1334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24%</w:t>
            </w:r>
          </w:p>
        </w:tc>
        <w:tc>
          <w:tcPr>
            <w:tcW w:type="dxa" w:w="1334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26%</w:t>
            </w:r>
          </w:p>
        </w:tc>
      </w:tr>
      <w:tr>
        <w:trPr>
          <w:cantSplit/>
          <w:tblHeader w:val="false"/>
        </w:trPr>
        <w:tc>
          <w:tcPr>
            <w:tcW w:type="dxa" w:w="19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6%</w:t>
            </w:r>
          </w:p>
        </w:tc>
        <w:tc>
          <w:tcPr>
            <w:tcW w:type="dxa" w:w="133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54</w:t>
            </w:r>
          </w:p>
        </w:tc>
        <w:tc>
          <w:tcPr>
            <w:tcW w:type="dxa" w:w="133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128</w:t>
            </w:r>
          </w:p>
        </w:tc>
        <w:tc>
          <w:tcPr>
            <w:tcW w:type="dxa" w:w="133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201</w:t>
            </w:r>
          </w:p>
        </w:tc>
        <w:tc>
          <w:tcPr>
            <w:tcW w:type="dxa" w:w="133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275</w:t>
            </w:r>
          </w:p>
        </w:tc>
        <w:tc>
          <w:tcPr>
            <w:tcW w:type="dxa" w:w="133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349</w:t>
            </w:r>
          </w:p>
        </w:tc>
        <w:tc>
          <w:tcPr>
            <w:tcW w:type="dxa" w:w="133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423</w:t>
            </w:r>
          </w:p>
        </w:tc>
      </w:tr>
      <w:tr>
        <w:trPr>
          <w:cantSplit/>
          <w:tblHeader w:val="false"/>
        </w:trPr>
        <w:tc>
          <w:tcPr>
            <w:tcW w:type="dxa" w:w="19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8%</w:t>
            </w:r>
          </w:p>
        </w:tc>
        <w:tc>
          <w:tcPr>
            <w:tcW w:type="dxa" w:w="133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71</w:t>
            </w:r>
          </w:p>
        </w:tc>
        <w:tc>
          <w:tcPr>
            <w:tcW w:type="dxa" w:w="133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151</w:t>
            </w:r>
          </w:p>
        </w:tc>
        <w:tc>
          <w:tcPr>
            <w:tcW w:type="dxa" w:w="133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231</w:t>
            </w:r>
          </w:p>
        </w:tc>
        <w:tc>
          <w:tcPr>
            <w:tcW w:type="dxa" w:w="133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311</w:t>
            </w:r>
          </w:p>
        </w:tc>
        <w:tc>
          <w:tcPr>
            <w:tcW w:type="dxa" w:w="133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391</w:t>
            </w:r>
          </w:p>
        </w:tc>
        <w:tc>
          <w:tcPr>
            <w:tcW w:type="dxa" w:w="133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472</w:t>
            </w:r>
          </w:p>
        </w:tc>
      </w:tr>
      <w:tr>
        <w:trPr>
          <w:cantSplit/>
          <w:tblHeader w:val="false"/>
        </w:trPr>
        <w:tc>
          <w:tcPr>
            <w:tcW w:type="dxa" w:w="19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10%</w:t>
            </w:r>
          </w:p>
        </w:tc>
        <w:tc>
          <w:tcPr>
            <w:tcW w:type="dxa" w:w="133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88</w:t>
            </w:r>
          </w:p>
        </w:tc>
        <w:tc>
          <w:tcPr>
            <w:tcW w:type="dxa" w:w="133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175</w:t>
            </w:r>
          </w:p>
        </w:tc>
        <w:tc>
          <w:tcPr>
            <w:tcW w:type="dxa" w:w="133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263</w:t>
            </w:r>
          </w:p>
        </w:tc>
        <w:tc>
          <w:tcPr>
            <w:tcW w:type="dxa" w:w="133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350</w:t>
            </w:r>
          </w:p>
        </w:tc>
        <w:tc>
          <w:tcPr>
            <w:tcW w:type="dxa" w:w="133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437</w:t>
            </w:r>
          </w:p>
        </w:tc>
        <w:tc>
          <w:tcPr>
            <w:tcW w:type="dxa" w:w="133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524</w:t>
            </w:r>
          </w:p>
        </w:tc>
      </w:tr>
      <w:tr>
        <w:trPr>
          <w:cantSplit/>
          <w:tblHeader w:val="false"/>
        </w:trPr>
        <w:tc>
          <w:tcPr>
            <w:tcW w:type="dxa" w:w="19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12%</w:t>
            </w:r>
          </w:p>
        </w:tc>
        <w:tc>
          <w:tcPr>
            <w:tcW w:type="dxa" w:w="133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107</w:t>
            </w:r>
          </w:p>
        </w:tc>
        <w:tc>
          <w:tcPr>
            <w:tcW w:type="dxa" w:w="133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</w:t>
            </w:r>
          </w:p>
        </w:tc>
        <w:tc>
          <w:tcPr>
            <w:tcW w:type="dxa" w:w="133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296</w:t>
            </w:r>
          </w:p>
        </w:tc>
        <w:tc>
          <w:tcPr>
            <w:tcW w:type="dxa" w:w="133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391</w:t>
            </w:r>
          </w:p>
        </w:tc>
        <w:tc>
          <w:tcPr>
            <w:tcW w:type="dxa" w:w="133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485</w:t>
            </w:r>
          </w:p>
        </w:tc>
        <w:tc>
          <w:tcPr>
            <w:tcW w:type="dxa" w:w="133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580</w:t>
            </w:r>
          </w:p>
        </w:tc>
      </w:tr>
      <w:tr>
        <w:trPr>
          <w:cantSplit/>
          <w:tblHeader w:val="false"/>
        </w:trPr>
        <w:tc>
          <w:tcPr>
            <w:tcW w:type="dxa" w:w="19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14%</w:t>
            </w:r>
          </w:p>
        </w:tc>
        <w:tc>
          <w:tcPr>
            <w:tcW w:type="dxa" w:w="133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128</w:t>
            </w:r>
          </w:p>
        </w:tc>
        <w:tc>
          <w:tcPr>
            <w:tcW w:type="dxa" w:w="133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230</w:t>
            </w:r>
          </w:p>
        </w:tc>
        <w:tc>
          <w:tcPr>
            <w:tcW w:type="dxa" w:w="133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332</w:t>
            </w:r>
          </w:p>
        </w:tc>
        <w:tc>
          <w:tcPr>
            <w:tcW w:type="dxa" w:w="133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435</w:t>
            </w:r>
          </w:p>
        </w:tc>
        <w:tc>
          <w:tcPr>
            <w:tcW w:type="dxa" w:w="133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537</w:t>
            </w:r>
          </w:p>
        </w:tc>
        <w:tc>
          <w:tcPr>
            <w:tcW w:type="dxa" w:w="1334"/>
            <w:shd w:fill="C6EFC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640</w:t>
            </w:r>
          </w:p>
        </w:tc>
      </w:tr>
      <w:tr>
        <w:trPr>
          <w:cantSplit/>
          <w:tblHeader w:val="false"/>
        </w:trPr>
        <w:tc>
          <w:tcPr>
            <w:tcW w:type="dxa" w:w="19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16%</w:t>
            </w:r>
          </w:p>
        </w:tc>
        <w:tc>
          <w:tcPr>
            <w:tcW w:type="dxa" w:w="133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149</w:t>
            </w:r>
          </w:p>
        </w:tc>
        <w:tc>
          <w:tcPr>
            <w:tcW w:type="dxa" w:w="133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260</w:t>
            </w:r>
          </w:p>
        </w:tc>
        <w:tc>
          <w:tcPr>
            <w:tcW w:type="dxa" w:w="133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371</w:t>
            </w:r>
          </w:p>
        </w:tc>
        <w:tc>
          <w:tcPr>
            <w:tcW w:type="dxa" w:w="133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482</w:t>
            </w:r>
          </w:p>
        </w:tc>
        <w:tc>
          <w:tcPr>
            <w:tcW w:type="dxa" w:w="133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593</w:t>
            </w:r>
          </w:p>
        </w:tc>
        <w:tc>
          <w:tcPr>
            <w:tcW w:type="dxa" w:w="1334"/>
            <w:shd w:fill="C6EFC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703</w:t>
            </w:r>
          </w:p>
        </w:tc>
      </w:tr>
      <w:tr>
        <w:trPr>
          <w:cantSplit/>
          <w:tblHeader w:val="false"/>
        </w:trPr>
        <w:tc>
          <w:tcPr>
            <w:tcW w:type="dxa" w:w="19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18%</w:t>
            </w:r>
          </w:p>
        </w:tc>
        <w:tc>
          <w:tcPr>
            <w:tcW w:type="dxa" w:w="133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172</w:t>
            </w:r>
          </w:p>
        </w:tc>
        <w:tc>
          <w:tcPr>
            <w:tcW w:type="dxa" w:w="133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292</w:t>
            </w:r>
          </w:p>
        </w:tc>
        <w:tc>
          <w:tcPr>
            <w:tcW w:type="dxa" w:w="133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412</w:t>
            </w:r>
          </w:p>
        </w:tc>
        <w:tc>
          <w:tcPr>
            <w:tcW w:type="dxa" w:w="133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532</w:t>
            </w:r>
          </w:p>
        </w:tc>
        <w:tc>
          <w:tcPr>
            <w:tcW w:type="dxa" w:w="1334"/>
            <w:shd w:fill="C6EFC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652</w:t>
            </w:r>
          </w:p>
        </w:tc>
        <w:tc>
          <w:tcPr>
            <w:tcW w:type="dxa" w:w="1334"/>
            <w:shd w:fill="C6EFC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772</w:t>
            </w:r>
          </w:p>
        </w:tc>
      </w:tr>
      <w:tr>
        <w:trPr>
          <w:cantSplit/>
          <w:tblHeader w:val="false"/>
        </w:trPr>
        <w:tc>
          <w:tcPr>
            <w:tcW w:type="dxa" w:w="19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20%</w:t>
            </w:r>
          </w:p>
        </w:tc>
        <w:tc>
          <w:tcPr>
            <w:tcW w:type="dxa" w:w="133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197</w:t>
            </w:r>
          </w:p>
        </w:tc>
        <w:tc>
          <w:tcPr>
            <w:tcW w:type="dxa" w:w="133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326</w:t>
            </w:r>
          </w:p>
        </w:tc>
        <w:tc>
          <w:tcPr>
            <w:tcW w:type="dxa" w:w="133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456</w:t>
            </w:r>
          </w:p>
        </w:tc>
        <w:tc>
          <w:tcPr>
            <w:tcW w:type="dxa" w:w="133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585</w:t>
            </w:r>
          </w:p>
        </w:tc>
        <w:tc>
          <w:tcPr>
            <w:tcW w:type="dxa" w:w="1334"/>
            <w:shd w:fill="C6EFC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715</w:t>
            </w:r>
          </w:p>
        </w:tc>
        <w:tc>
          <w:tcPr>
            <w:tcW w:type="dxa" w:w="1334"/>
            <w:shd w:fill="C6EFC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844</w:t>
            </w:r>
          </w:p>
        </w:tc>
      </w:tr>
      <w:tr>
        <w:trPr>
          <w:cantSplit/>
          <w:tblHeader w:val="false"/>
        </w:trPr>
        <w:tc>
          <w:tcPr>
            <w:tcW w:type="dxa" w:w="19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22%</w:t>
            </w:r>
          </w:p>
        </w:tc>
        <w:tc>
          <w:tcPr>
            <w:tcW w:type="dxa" w:w="133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223</w:t>
            </w:r>
          </w:p>
        </w:tc>
        <w:tc>
          <w:tcPr>
            <w:tcW w:type="dxa" w:w="133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363</w:t>
            </w:r>
          </w:p>
        </w:tc>
        <w:tc>
          <w:tcPr>
            <w:tcW w:type="dxa" w:w="133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502</w:t>
            </w:r>
          </w:p>
        </w:tc>
        <w:tc>
          <w:tcPr>
            <w:tcW w:type="dxa" w:w="1333"/>
            <w:shd w:fill="C6EFC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642</w:t>
            </w:r>
          </w:p>
        </w:tc>
        <w:tc>
          <w:tcPr>
            <w:tcW w:type="dxa" w:w="1334"/>
            <w:shd w:fill="C6EFC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782</w:t>
            </w:r>
          </w:p>
        </w:tc>
        <w:tc>
          <w:tcPr>
            <w:tcW w:type="dxa" w:w="1334"/>
            <w:shd w:fill="C6EFC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922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/>
          <w:iCs/>
          <w:sz w:val="16"/>
          <w:szCs w:val="16"/>
        </w:rPr>
        <w:t xml:space="preserve">At our 12.95% WACC no combination in the same grid reaches Rs612 (maximum Rs567 at 22% CAGR and 26% margin). Live version: the Reverse_DCF_Grid sheet.</w:t>
      </w:r>
    </w:p>
    <w:p>
      <w:pPr>
        <w:keepNext/>
        <w:pageBreakBefore/>
        <w:pBdr>
          <w:bottom w:val="single" w:color="1F3864" w:sz="6" w:space="1"/>
        </w:pBd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 Returns if you buy today</w:t>
      </w:r>
    </w:p>
    <w:tbl>
      <w:tblPr>
        <w:tblW w:type="dxa" w:w="9906"/>
        <w:tblBorders>
          <w:top w:val="single" w:color="BFBFBF" w:sz="4"/>
          <w:left w:val="none" w:color="FFFFFF" w:sz="0"/>
          <w:bottom w:val="single" w:color="BFBFBF" w:sz="4"/>
          <w:right w:val="none" w:color="FFFFFF" w:sz="0"/>
          <w:insideH w:val="single" w:color="BFBFBF" w:sz="4"/>
          <w:insideV w:val="none" w:color="FFFFFF" w:sz="0"/>
        </w:tblBorders>
      </w:tblPr>
      <w:tblGrid>
        <w:gridCol w:w="4906"/>
        <w:gridCol w:w="1600"/>
        <w:gridCol w:w="1700"/>
        <w:gridCol w:w="1700"/>
      </w:tblGrid>
      <w:tr>
        <w:trPr>
          <w:cantSplit/>
          <w:tblHeader/>
        </w:trPr>
        <w:tc>
          <w:tcPr>
            <w:tcW w:type="dxa" w:w="4906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Unlevered IRR: buy the firm at today's EV, exit in Mar-2031 at...</w:t>
            </w:r>
          </w:p>
        </w:tc>
        <w:tc>
          <w:tcPr>
            <w:tcW w:type="dxa" w:w="16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6x EBITDA</w:t>
            </w:r>
          </w:p>
        </w:tc>
        <w:tc>
          <w:tcPr>
            <w:tcW w:type="dxa" w:w="17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10x EBITDA</w:t>
            </w:r>
          </w:p>
        </w:tc>
        <w:tc>
          <w:tcPr>
            <w:tcW w:type="dxa" w:w="17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14.3x (today)</w:t>
            </w:r>
          </w:p>
        </w:tc>
      </w:tr>
      <w:tr>
        <w:trPr>
          <w:cantSplit/>
          <w:tblHeader w:val="false"/>
        </w:trPr>
        <w:tc>
          <w:tcPr>
            <w:tcW w:type="dxa" w:w="49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Bear cash flows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-9.5%</w:t>
            </w:r>
          </w:p>
        </w:tc>
        <w:tc>
          <w:tcPr>
            <w:tcW w:type="dxa" w:w="17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0.5%</w:t>
            </w:r>
          </w:p>
        </w:tc>
        <w:tc>
          <w:tcPr>
            <w:tcW w:type="dxa" w:w="17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8.4%</w:t>
            </w:r>
          </w:p>
        </w:tc>
      </w:tr>
      <w:tr>
        <w:trPr>
          <w:cantSplit/>
          <w:tblHeader w:val="false"/>
        </w:trPr>
        <w:tc>
          <w:tcPr>
            <w:tcW w:type="dxa" w:w="49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Base cash flows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-2.5%</w:t>
            </w:r>
          </w:p>
        </w:tc>
        <w:tc>
          <w:tcPr>
            <w:tcW w:type="dxa" w:w="17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8.4%</w:t>
            </w:r>
          </w:p>
        </w:tc>
        <w:tc>
          <w:tcPr>
            <w:tcW w:type="dxa" w:w="17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16.9%</w:t>
            </w:r>
          </w:p>
        </w:tc>
      </w:tr>
      <w:tr>
        <w:trPr>
          <w:cantSplit/>
          <w:tblHeader w:val="false"/>
        </w:trPr>
        <w:tc>
          <w:tcPr>
            <w:tcW w:type="dxa" w:w="49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Bull cash flows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3.2%</w:t>
            </w:r>
          </w:p>
        </w:tc>
        <w:tc>
          <w:tcPr>
            <w:tcW w:type="dxa" w:w="17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14.6%</w:t>
            </w:r>
          </w:p>
        </w:tc>
        <w:tc>
          <w:tcPr>
            <w:tcW w:type="dxa" w:w="17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23.6%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The exit multiple matters far more than operating performance: base-case cash flows give a ~17% return only if today's 14.3x multiple survives, and a negative return if the stock de-rates to a multiple consistent with its returns.</w:t>
      </w:r>
    </w:p>
    <w:p>
      <w:pPr>
        <w:keepNext/>
        <w:pBdr>
          <w:bottom w:val="single" w:color="1F3864" w:sz="6" w:space="1"/>
        </w:pBd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6. Scenarios</w:t>
      </w:r>
    </w:p>
    <w:tbl>
      <w:tblPr>
        <w:tblW w:type="dxa" w:w="9906"/>
        <w:tblBorders>
          <w:top w:val="single" w:color="BFBFBF" w:sz="4"/>
          <w:left w:val="none" w:color="FFFFFF" w:sz="0"/>
          <w:bottom w:val="single" w:color="BFBFBF" w:sz="4"/>
          <w:right w:val="none" w:color="FFFFFF" w:sz="0"/>
          <w:insideH w:val="single" w:color="BFBFBF" w:sz="4"/>
          <w:insideV w:val="none" w:color="FFFFFF" w:sz="0"/>
        </w:tblBorders>
      </w:tblPr>
      <w:tblGrid>
        <w:gridCol w:w="3906"/>
        <w:gridCol w:w="2000"/>
        <w:gridCol w:w="2000"/>
        <w:gridCol w:w="2000"/>
      </w:tblGrid>
      <w:tr>
        <w:trPr>
          <w:cantSplit/>
          <w:tblHeader/>
        </w:trPr>
        <w:tc>
          <w:tcPr>
            <w:tcW w:type="dxa" w:w="3906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Bear</w:t>
            </w:r>
          </w:p>
        </w:tc>
        <w:tc>
          <w:tcPr>
            <w:tcW w:type="dxa" w:w="20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Base</w:t>
            </w:r>
          </w:p>
        </w:tc>
        <w:tc>
          <w:tcPr>
            <w:tcW w:type="dxa" w:w="20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Bull</w:t>
            </w:r>
          </w:p>
        </w:tc>
      </w:tr>
      <w:tr>
        <w:trPr>
          <w:cantSplit/>
          <w:tblHeader w:val="false"/>
        </w:trPr>
        <w:tc>
          <w:tcPr>
            <w:tcW w:type="dxa" w:w="39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Revenue growth vs base</w:t>
            </w:r>
          </w:p>
        </w:tc>
        <w:tc>
          <w:tcPr>
            <w:tcW w:type="dxa" w:w="2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-5 pp</w:t>
            </w:r>
          </w:p>
        </w:tc>
        <w:tc>
          <w:tcPr>
            <w:tcW w:type="dxa" w:w="2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base</w:t>
            </w:r>
          </w:p>
        </w:tc>
        <w:tc>
          <w:tcPr>
            <w:tcW w:type="dxa" w:w="2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+3 pp</w:t>
            </w:r>
          </w:p>
        </w:tc>
      </w:tr>
      <w:tr>
        <w:trPr>
          <w:cantSplit/>
          <w:tblHeader w:val="false"/>
        </w:trPr>
        <w:tc>
          <w:tcPr>
            <w:tcW w:type="dxa" w:w="39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EBITDA margin vs base</w:t>
            </w:r>
          </w:p>
        </w:tc>
        <w:tc>
          <w:tcPr>
            <w:tcW w:type="dxa" w:w="2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-2 pp</w:t>
            </w:r>
          </w:p>
        </w:tc>
        <w:tc>
          <w:tcPr>
            <w:tcW w:type="dxa" w:w="2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base</w:t>
            </w:r>
          </w:p>
        </w:tc>
        <w:tc>
          <w:tcPr>
            <w:tcW w:type="dxa" w:w="2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+2 pp</w:t>
            </w:r>
          </w:p>
        </w:tc>
      </w:tr>
      <w:tr>
        <w:trPr>
          <w:cantSplit/>
          <w:tblHeader w:val="false"/>
        </w:trPr>
        <w:tc>
          <w:tcPr>
            <w:tcW w:type="dxa" w:w="39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Working capital vs base</w:t>
            </w:r>
          </w:p>
        </w:tc>
        <w:tc>
          <w:tcPr>
            <w:tcW w:type="dxa" w:w="2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+4 pp</w:t>
            </w:r>
          </w:p>
        </w:tc>
        <w:tc>
          <w:tcPr>
            <w:tcW w:type="dxa" w:w="2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base</w:t>
            </w:r>
          </w:p>
        </w:tc>
        <w:tc>
          <w:tcPr>
            <w:tcW w:type="dxa" w:w="2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-3 pp</w:t>
            </w:r>
          </w:p>
        </w:tc>
      </w:tr>
      <w:tr>
        <w:trPr>
          <w:cantSplit/>
          <w:tblHeader w:val="false"/>
        </w:trPr>
        <w:tc>
          <w:tcPr>
            <w:tcW w:type="dxa" w:w="39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Revenue CAGR FY26-31</w:t>
            </w:r>
          </w:p>
        </w:tc>
        <w:tc>
          <w:tcPr>
            <w:tcW w:type="dxa" w:w="2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7.0%</w:t>
            </w:r>
          </w:p>
        </w:tc>
        <w:tc>
          <w:tcPr>
            <w:tcW w:type="dxa" w:w="2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12.0%</w:t>
            </w:r>
          </w:p>
        </w:tc>
        <w:tc>
          <w:tcPr>
            <w:tcW w:type="dxa" w:w="2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15.0%</w:t>
            </w:r>
          </w:p>
        </w:tc>
      </w:tr>
      <w:tr>
        <w:trPr>
          <w:cantSplit/>
          <w:tblHeader w:val="false"/>
        </w:trPr>
        <w:tc>
          <w:tcPr>
            <w:tcW w:type="dxa" w:w="39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FY31E EBITDA margin</w:t>
            </w:r>
          </w:p>
        </w:tc>
        <w:tc>
          <w:tcPr>
            <w:tcW w:type="dxa" w:w="2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17.5%</w:t>
            </w:r>
          </w:p>
        </w:tc>
        <w:tc>
          <w:tcPr>
            <w:tcW w:type="dxa" w:w="2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19.5%</w:t>
            </w:r>
          </w:p>
        </w:tc>
        <w:tc>
          <w:tcPr>
            <w:tcW w:type="dxa" w:w="2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21.5%</w:t>
            </w:r>
          </w:p>
        </w:tc>
      </w:tr>
      <w:tr>
        <w:trPr>
          <w:cantSplit/>
          <w:tblHeader w:val="false"/>
        </w:trPr>
        <w:tc>
          <w:tcPr>
            <w:tcW w:type="dxa" w:w="39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FY31E post-tax ROIC</w:t>
            </w:r>
          </w:p>
        </w:tc>
        <w:tc>
          <w:tcPr>
            <w:tcW w:type="dxa" w:w="2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7.1%</w:t>
            </w:r>
          </w:p>
        </w:tc>
        <w:tc>
          <w:tcPr>
            <w:tcW w:type="dxa" w:w="2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10.0%</w:t>
            </w:r>
          </w:p>
        </w:tc>
        <w:tc>
          <w:tcPr>
            <w:tcW w:type="dxa" w:w="2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12.8%</w:t>
            </w:r>
          </w:p>
        </w:tc>
      </w:tr>
      <w:tr>
        <w:trPr>
          <w:cantSplit/>
          <w:tblHeader w:val="false"/>
        </w:trPr>
        <w:tc>
          <w:tcPr>
            <w:tcW w:type="dxa" w:w="39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FY31E net debt / EBITDA</w:t>
            </w:r>
          </w:p>
        </w:tc>
        <w:tc>
          <w:tcPr>
            <w:tcW w:type="dxa" w:w="2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2.9x</w:t>
            </w:r>
          </w:p>
        </w:tc>
        <w:tc>
          <w:tcPr>
            <w:tcW w:type="dxa" w:w="2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1.9x</w:t>
            </w:r>
          </w:p>
        </w:tc>
        <w:tc>
          <w:tcPr>
            <w:tcW w:type="dxa" w:w="2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1.3x</w:t>
            </w:r>
          </w:p>
        </w:tc>
      </w:tr>
      <w:tr>
        <w:trPr>
          <w:cantSplit/>
          <w:tblHeader w:val="false"/>
        </w:trPr>
        <w:tc>
          <w:tcPr>
            <w:tcW w:type="dxa" w:w="39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DCF value per share</w:t>
            </w:r>
          </w:p>
        </w:tc>
        <w:tc>
          <w:tcPr>
            <w:tcW w:type="dxa" w:w="2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Rs4</w:t>
            </w:r>
          </w:p>
        </w:tc>
        <w:tc>
          <w:tcPr>
            <w:tcW w:type="dxa" w:w="2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Rs118</w:t>
            </w:r>
          </w:p>
        </w:tc>
        <w:tc>
          <w:tcPr>
            <w:tcW w:type="dxa" w:w="2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Rs240</w:t>
            </w:r>
          </w:p>
        </w:tc>
      </w:tr>
      <w:tr>
        <w:trPr>
          <w:cantSplit/>
          <w:tblHeader w:val="false"/>
        </w:trPr>
        <w:tc>
          <w:tcPr>
            <w:tcW w:type="dxa" w:w="39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vs CMP Rs612</w:t>
            </w:r>
          </w:p>
        </w:tc>
        <w:tc>
          <w:tcPr>
            <w:tcW w:type="dxa" w:w="2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-99%</w:t>
            </w:r>
          </w:p>
        </w:tc>
        <w:tc>
          <w:tcPr>
            <w:tcW w:type="dxa" w:w="2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-81%</w:t>
            </w:r>
          </w:p>
        </w:tc>
        <w:tc>
          <w:tcPr>
            <w:tcW w:type="dxa" w:w="2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-61%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The bear case is simply FY26-level returns persisting (ROIC ~7%). On a DCF, a business that earns well below its cost of capital is worth little more than its debt, so equity value approaches zero; in practice the replacement cost of the plant would act as a floor. Probability-weighted (25/50/25): Rs120.</w:t>
      </w:r>
    </w:p>
    <w:p>
      <w:pPr>
        <w:keepNext/>
        <w:pBdr>
          <w:bottom w:val="single" w:color="1F3864" w:sz="6" w:space="1"/>
        </w:pBd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7. Same company, two lenses</w:t>
      </w:r>
    </w:p>
    <w:tbl>
      <w:tblPr>
        <w:tblW w:type="dxa" w:w="9906"/>
        <w:tblBorders>
          <w:top w:val="single" w:color="BFBFBF" w:sz="4"/>
          <w:left w:val="none" w:color="FFFFFF" w:sz="0"/>
          <w:bottom w:val="single" w:color="BFBFBF" w:sz="4"/>
          <w:right w:val="none" w:color="FFFFFF" w:sz="0"/>
          <w:insideH w:val="single" w:color="BFBFBF" w:sz="4"/>
          <w:insideV w:val="none" w:color="FFFFFF" w:sz="0"/>
        </w:tblBorders>
      </w:tblPr>
      <w:tblGrid>
        <w:gridCol w:w="1906"/>
        <w:gridCol w:w="4000"/>
        <w:gridCol w:w="4000"/>
      </w:tblGrid>
      <w:tr>
        <w:trPr>
          <w:cantSplit/>
          <w:tblHeader/>
        </w:trPr>
        <w:tc>
          <w:tcPr>
            <w:tcW w:type="dxa" w:w="1906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40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Credit view (lender)</w:t>
            </w:r>
          </w:p>
        </w:tc>
        <w:tc>
          <w:tcPr>
            <w:tcW w:type="dxa" w:w="40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Equity view (shareholder)</w:t>
            </w:r>
          </w:p>
        </w:tc>
      </w:tr>
      <w:tr>
        <w:trPr>
          <w:cantSplit/>
          <w:tblHeader w:val="false"/>
        </w:trPr>
        <w:tc>
          <w:tcPr>
            <w:tcW w:type="dxa" w:w="19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Question</w:t>
            </w:r>
          </w:p>
        </w:tc>
        <w:tc>
          <w:tcPr>
            <w:tcW w:type="dxa" w:w="4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Will debt be repaid on time?</w:t>
            </w:r>
          </w:p>
        </w:tc>
        <w:tc>
          <w:tcPr>
            <w:tcW w:type="dxa" w:w="4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Will capital earn more than it costs?</w:t>
            </w:r>
          </w:p>
        </w:tc>
      </w:tr>
      <w:tr>
        <w:trPr>
          <w:cantSplit/>
          <w:tblHeader w:val="false"/>
        </w:trPr>
        <w:tc>
          <w:tcPr>
            <w:tcW w:type="dxa" w:w="19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Key metric</w:t>
            </w:r>
          </w:p>
        </w:tc>
        <w:tc>
          <w:tcPr>
            <w:tcW w:type="dxa" w:w="4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EBITDA / interest 3.6x; net debt / EBITDA 4.4x, falling</w:t>
            </w:r>
          </w:p>
        </w:tc>
        <w:tc>
          <w:tcPr>
            <w:tcW w:type="dxa" w:w="4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ROIC 6.2% vs WACC 12.95%</w:t>
            </w:r>
          </w:p>
        </w:tc>
      </w:tr>
      <w:tr>
        <w:trPr>
          <w:cantSplit/>
          <w:tblHeader w:val="false"/>
        </w:trPr>
        <w:tc>
          <w:tcPr>
            <w:tcW w:type="dxa" w:w="19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Verdict</w:t>
            </w:r>
          </w:p>
        </w:tc>
        <w:tc>
          <w:tcPr>
            <w:tcW w:type="dxa" w:w="4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Adequate: CARE A (Stable)</w:t>
            </w:r>
          </w:p>
        </w:tc>
        <w:tc>
          <w:tcPr>
            <w:tcW w:type="dxa" w:w="4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Price assumes a step-change in returns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Both can be right at once. The rating depends on cash covering interest; the share price depends on returns exceeding the cost of capital.</w:t>
      </w:r>
    </w:p>
    <w:p>
      <w:pPr>
        <w:keepNext/>
        <w:pBdr>
          <w:bottom w:val="single" w:color="1F3864" w:sz="6" w:space="1"/>
        </w:pBd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8. What would prove this memo wrong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A new growth leg (exports, new customers or segments) that lifts revenue growth above 18% while margins expand as the new capacity fills.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A persistently low tax rate: our 25.17% assumption is conservative against the 14% FY26 effective rate.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A lower cost of capital: at an 11% WACC and 8% growth the base case is worth ~Rs418 (Section 3), still below Rs612.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Before any interview: find out what drove the rally from the 52-week low of Rs276, and confirm the cash balance, tax note and capitalised interest in the FY26 annual report.</w:t>
      </w:r>
    </w:p>
    <w:p>
      <w:pPr>
        <w:keepNext/>
        <w:spacing w:after="80" w:before="2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Disclosures and sources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Student valuation exercise by Gaurav Waghmode (FRM Part 1); not investment advice and not a recommendation. The author is not registered with SEBI as a research analyst. Sources: Screener.in consolidated financials and quarterly results (29-Sep-2026); CARE Ratings releases (Apr and Jun 2026); Trading Economics (10-year G-sec). Model: MMFL_Valuation_Model.xlsx; Python replica: mmfl_dcf.py.</w:t>
      </w:r>
    </w:p>
    <w:sectPr>
      <w:footerReference w:type="default" r:id="rId7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4"/>
        <w:szCs w:val="14"/>
      </w:rPr>
      <w:t xml:space="preserve">M M Forgings | Valuation memo | Student exercise - not investment advice  |  Page </w:t>
    </w:r>
    <w:r>
      <w:rPr>
        <w:rFonts w:ascii="Arial" w:cs="Arial" w:eastAsia="Arial" w:hAnsi="Arial"/>
        <w:color w:val="7F7F7F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29157ff27d2c83459742e0e79cfab426714887d.png"/><Relationship Id="rId9" Type="http://schemas.openxmlformats.org/officeDocument/2006/relationships/image" Target="media/72c2ce42ccc36a0949616b1268e19b8d4b0e58a4.png"/><Relationship Id="rId10" Type="http://schemas.openxmlformats.org/officeDocument/2006/relationships/image" Target="media/6bc386d4c8b1271a2fecbf855261be19c08bb4e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 M Forgings - valuation memo</dc:title>
  <dc:creator>Gaurav Waghmode</dc:creator>
  <cp:lastModifiedBy>Un-named</cp:lastModifiedBy>
  <cp:revision>1</cp:revision>
  <dcterms:created xsi:type="dcterms:W3CDTF">2026-09-30T20:06:04.325Z</dcterms:created>
  <dcterms:modified xsi:type="dcterms:W3CDTF">2026-09-30T20:06:04.326Z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