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76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INDEPENDENT CREDIT RATING NOTE</w:t>
      </w:r>
    </w:p>
    <w:p>
      <w:pPr>
        <w:spacing w:after="110" w:before="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 M Forgings Ltd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 |   NSE: MMFL · BSE: 522241 · Consolidated · Actual public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900"/>
        <w:gridCol w:w="2000"/>
        <w:gridCol w:w="2138"/>
        <w:gridCol w:w="17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 rating (as built)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CARE-comparable basis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CARE rating (30-Jun-2026)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Analyst view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BBB (gross debt)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A- (after bridge)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CARE A; Stable / CARE A1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defensible; limited headroom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18-Sep-2026</w:t>
            </w:r>
          </w:p>
        </w:tc>
      </w:tr>
    </w:tbl>
    <w:p>
      <w:pPr>
        <w:spacing w:after="110" w:before="60" w:line="276"/>
      </w:pPr>
      <w:r>
        <w:rPr>
          <w:rFonts w:ascii="Arial" w:cs="Arial" w:eastAsia="Arial" w:hAnsi="Arial"/>
          <w:i/>
          <w:iCs/>
          <w:color w:val="7F7F7F"/>
          <w:sz w:val="15"/>
          <w:szCs w:val="15"/>
        </w:rPr>
        <w:t xml:space="preserve">Prepared by Gaurav Waghmode as an independent educational exercise using public data. Not an official credit rating or investment advice.</w:t>
      </w:r>
    </w:p>
    <w:p>
      <w:pPr>
        <w:pStyle w:val="Heading1"/>
        <w:pBdr>
          <w:bottom w:val="single" w:color="C9A227" w:sz="6" w:space="2"/>
        </w:pBdr>
        <w:spacing w:after="11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Summary</w:t>
      </w:r>
    </w:p>
    <w:p>
      <w:pPr>
        <w:spacing w:after="110" w:before="0" w:line="276"/>
      </w:pPr>
      <w:r>
        <w:rPr>
          <w:rFonts w:ascii="Arial" w:cs="Arial" w:eastAsia="Arial" w:hAnsi="Arial"/>
          <w:sz w:val="19"/>
          <w:szCs w:val="19"/>
        </w:rPr>
        <w:t xml:space="preserve">M M Forgings (MMF) is a 50-year-old closed-die forging company with 130,000 MTPA capacity, ₹1,590 Cr of FY26 revenue and a stable 17.6–19.4% operating margin. CARE Ratings reaffirmed it at CARE A; Stable in June 2026. I rebuilt the rating from public financials using a transparent 18-factor scorecard.</w:t>
      </w:r>
    </w:p>
    <w:p>
      <w:pPr>
        <w:spacing w:after="110" w:before="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Finding: </w:t>
      </w:r>
      <w:r>
        <w:rPr>
          <w:rFonts w:ascii="Arial" w:cs="Arial" w:eastAsia="Arial" w:hAnsi="Arial"/>
          <w:sz w:val="19"/>
          <w:szCs w:val="19"/>
        </w:rPr>
        <w:t xml:space="preserve">on a conservative basis (gross debt, blended FY26/FY27E metrics) the scorecard gives BBB — three notches below CARE. A step-by-step bridge shows how the gap closes: netting ₹225 Cr of liquid investments, adopting CARE's narrower debt definition, rating on FY27E alone and using CARE's expected accruals together lift the score to 7.08 (A-). CARE's A is therefore supportable, but it leans on a forward expectation that accruals rise from ₹202 Cr in FY26 to ~₹290 Cr. If the new presses do not deliver that ramp-up, the rating has little room.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000"/>
        <w:gridCol w:w="1000"/>
        <w:gridCol w:w="1000"/>
        <w:gridCol w:w="1000"/>
        <w:gridCol w:w="37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metric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FY24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FY25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FY26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FY27E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Trend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Debt / PBILDT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3.18x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4.00x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4.41x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3.80x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Weakened; above CARE's 3.0x upgrade level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Overall gearing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1.18x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1.33x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1.27x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1.12x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Within 1.5x downgrade trigger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Interest coverage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6.98x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4.93x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3.59x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3.95x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Halved since FY24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14.7%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11.9%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9.3%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CWIP of ₹335 Cr not yet earning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PBILDT margin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18.7%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19.4%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17.6%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18.0%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Range-bound</w:t>
            </w:r>
          </w:p>
        </w:tc>
      </w:tr>
    </w:tbl>
    <w:p>
      <w:pPr>
        <w:pStyle w:val="Heading1"/>
        <w:pBdr>
          <w:bottom w:val="single" w:color="C9A227" w:sz="6" w:space="2"/>
        </w:pBdr>
        <w:spacing w:after="11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Business profile</w:t>
      </w:r>
    </w:p>
    <w:p>
      <w:pPr>
        <w:spacing w:after="110" w:before="0" w:line="276"/>
      </w:pPr>
      <w:r>
        <w:rPr>
          <w:rFonts w:ascii="Arial" w:cs="Arial" w:eastAsia="Arial" w:hAnsi="Arial"/>
          <w:sz w:val="19"/>
          <w:szCs w:val="19"/>
        </w:rPr>
        <w:t xml:space="preserve">MMF makes forgings of 0.1–120 kg in carbon, alloy, micro-alloy and stainless steel, mostly semi- or fully machined, from plants in Tamil Nadu and a machining unit near Lucknow. The strengths CARE highlights are real and visible in the numbers: long client relationships, in-house die design and machining, and a sizeable export book (about 35% of FY26 sales, with Europe at 20% and the US at 10%). The weaknesses are equally structural: around three-quarters of FY25 sales went to commercial vehicles, the most cyclical auto segment, and the top-10 customers still account for ~62% of revenue. A 16,500-tonne press due in FY27 should extend the part-weight range beyond 170 kg and open heavier, higher-value work.</w:t>
      </w:r>
    </w:p>
    <w:p>
      <w:pPr>
        <w:pStyle w:val="Heading1"/>
        <w:pBdr>
          <w:bottom w:val="single" w:color="C9A227" w:sz="6" w:space="2"/>
        </w:pBdr>
        <w:spacing w:after="11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Financial analysis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8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₹ crore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FY22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FY23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FY24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FY25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FY26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FY27E</w:t>
            </w:r>
          </w:p>
        </w:tc>
      </w:tr>
      <w:tr>
        <w:trPr>
          <w:tblHeader w:val="false"/>
        </w:trP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1,140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1,462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1,563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1,525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1,590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1,717</w:t>
            </w:r>
          </w:p>
        </w:tc>
      </w:tr>
      <w:tr>
        <w:trPr>
          <w:tblHeader w:val="false"/>
        </w:trP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PBILDT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273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309</w:t>
            </w:r>
          </w:p>
        </w:tc>
      </w:tr>
      <w:tr>
        <w:trPr>
          <w:tblHeader w:val="false"/>
        </w:trP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Interest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78</w:t>
            </w:r>
          </w:p>
        </w:tc>
      </w:tr>
      <w:tr>
        <w:trPr>
          <w:tblHeader w:val="false"/>
        </w:trP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</w:t>
            </w:r>
          </w:p>
        </w:tc>
      </w:tr>
      <w:tr>
        <w:trPr>
          <w:tblHeader w:val="false"/>
        </w:trP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Cash accruals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215</w:t>
            </w:r>
          </w:p>
        </w:tc>
      </w:tr>
      <w:tr>
        <w:trPr>
          <w:tblHeader w:val="false"/>
        </w:trP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Gross debt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685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756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931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1,185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1,235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1,175</w:t>
            </w:r>
          </w:p>
        </w:tc>
      </w:tr>
      <w:tr>
        <w:trPr>
          <w:tblHeader w:val="false"/>
        </w:trP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Net worth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789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893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1,052</w:t>
            </w:r>
          </w:p>
        </w:tc>
      </w:tr>
      <w:tr>
        <w:trPr>
          <w:tblHeader w:val="false"/>
        </w:trP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CFO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 cash flow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-27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-83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-176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Cash conversion cycle (days)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</w:t>
            </w:r>
          </w:p>
        </w:tc>
      </w:tr>
    </w:tbl>
    <w:p>
      <w:pPr>
        <w:spacing w:after="4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Figure 1 — Gross debt, PBILDT and debt/PBILDT (FY27E = analyst base case)</w:t>
      </w:r>
    </w:p>
    <w:p>
      <w:pPr>
        <w:spacing w:after="110" w:before="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The capex cycle is the credit story. </w:t>
      </w:r>
      <w:r>
        <w:rPr>
          <w:rFonts w:ascii="Arial" w:cs="Arial" w:eastAsia="Arial" w:hAnsi="Arial"/>
          <w:sz w:val="19"/>
          <w:szCs w:val="19"/>
        </w:rPr>
        <w:t xml:space="preserve">CARE reports ~₹850 Cr of capex over three years, ~₹610 Cr of it debt-funded. Gross debt rose by ₹479 Cr between FY23 and FY26 while PBILDT rose by only ₹7 Cr, so leverage and coverage weakened even though the underlying business held steady. Cumulative free cash flow over FY23–FY26 was negative ₹240 Cr. Capital-work-in-progress of ₹335 Cr (about 23% of fixed assets) explains much of the fall in ROCE: those assets carry debt and interest but do not yet produce revenue.</w:t>
      </w:r>
    </w:p>
    <w:p>
      <w:pPr>
        <w:spacing w:after="40"/>
        <w:jc w:val="center"/>
      </w:pPr>
      <w:r>
        <w:drawing>
          <wp:inline distT="0" distB="0" distL="0" distR="0">
            <wp:extent cx="5905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Figure 2 — Interest coverage and ROCE</w:t>
      </w:r>
    </w:p>
    <w:p>
      <w:pPr>
        <w:spacing w:after="110" w:before="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Working capital lengthened. </w:t>
      </w:r>
      <w:r>
        <w:rPr>
          <w:rFonts w:ascii="Arial" w:cs="Arial" w:eastAsia="Arial" w:hAnsi="Arial"/>
          <w:sz w:val="19"/>
          <w:szCs w:val="19"/>
        </w:rPr>
        <w:t xml:space="preserve">The cash conversion cycle widened from 118 days in FY22 to 164 in FY26, driven by debtor days rising from 50 to 96 — consistent with a larger export mix on longer terms, but worth monitoring. Operating cash flow improved to 81% of PBILDT in FY26, the best conversion in five years.</w:t>
      </w:r>
    </w:p>
    <w:p>
      <w:pPr>
        <w:spacing w:after="110" w:before="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Recent trend. </w:t>
      </w:r>
      <w:r>
        <w:rPr>
          <w:rFonts w:ascii="Arial" w:cs="Arial" w:eastAsia="Arial" w:hAnsi="Arial"/>
          <w:sz w:val="19"/>
          <w:szCs w:val="19"/>
        </w:rPr>
        <w:t xml:space="preserve">Margins troughed at ~17% in Q2–Q3 FY26 as US tariffs cut higher-margin machined volumes, then recovered to ~19% in Q4 FY26 with Q1 FY27 sales up 16% year on year. Q1 FY27 PAT of ₹90 Cr is flattered by ₹63 Cr of other income against a run-rate of ₹4–8 Cr and a ~1% tax charge; I treat it as non-recurring and exclude it from the base case.</w:t>
      </w:r>
    </w:p>
    <w:p>
      <w:pPr>
        <w:spacing w:after="40"/>
        <w:jc w:val="center"/>
      </w:pPr>
      <w:r>
        <w:drawing>
          <wp:inline distT="0" distB="0" distL="0" distR="0">
            <wp:extent cx="5905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Figure 3 — Quarterly sales and operating margin, Jun-23 to Jun-26</w:t>
      </w:r>
    </w:p>
    <w:p>
      <w:pPr>
        <w:pStyle w:val="Heading1"/>
        <w:pBdr>
          <w:bottom w:val="single" w:color="C9A227" w:sz="6" w:space="2"/>
        </w:pBdr>
        <w:spacing w:after="11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Debt-service capacity</w:t>
      </w:r>
    </w:p>
    <w:p>
      <w:pPr>
        <w:spacing w:after="110" w:before="0" w:line="276"/>
      </w:pPr>
      <w:r>
        <w:rPr>
          <w:rFonts w:ascii="Arial" w:cs="Arial" w:eastAsia="Arial" w:hAnsi="Arial"/>
          <w:sz w:val="19"/>
          <w:szCs w:val="19"/>
        </w:rPr>
        <w:t xml:space="preserve">CARE discloses term-debt repayments of ₹150–170 Cr a year for the next three years. My FY27E base case — 8% revenue growth and an 18% margin — gives cash accruals of ₹215 Cr, covering repayment 1.34x. Using all interest (including working-capital interest), the DSCR is 1.23x.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8"/>
        <w:gridCol w:w="1000"/>
        <w:gridCol w:w="1000"/>
        <w:gridCol w:w="1000"/>
        <w:gridCol w:w="1000"/>
        <w:gridCol w:w="2000"/>
      </w:tblGrid>
      <w:tr>
        <w:trPr>
          <w:tblHeader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PBILDT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Accruals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Repayment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DSCR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Accruals + liquidity / repayment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FY26 actual, mid repayment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1.14x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2.61x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FY27E base case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1.23x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2.75x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FY27E: PBILDT −15% (CV downturn)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1.08x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2.53x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FY27E: PBILDT −25%, repayment at high end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0.95x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2.24x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FY27E: PBILDT −25%, rates +200 bps, high repayment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0.89x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2.14x</w:t>
            </w:r>
          </w:p>
        </w:tc>
      </w:tr>
    </w:tbl>
    <w:p>
      <w:pPr>
        <w:spacing w:after="4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110" w:before="0" w:line="276"/>
      </w:pPr>
      <w:r>
        <w:rPr>
          <w:rFonts w:ascii="Arial" w:cs="Arial" w:eastAsia="Arial" w:hAnsi="Arial"/>
          <w:sz w:val="19"/>
          <w:szCs w:val="19"/>
        </w:rPr>
        <w:t xml:space="preserve">Accruals alone cover repayment only until PBILDT falls about 24% below the base case. Beyond that, the ₹225 Cr of liquid investments carries the debt service — covering repayment more than 2x even in the severest scenario. This liquidity is the main reason a moderately leveraged, cyclical company can sit in the A category, and why CARE lists a significant fall in liquid investments as a downgrade trigger.</w:t>
      </w:r>
    </w:p>
    <w:p>
      <w:pPr>
        <w:pStyle w:val="Heading1"/>
        <w:pBdr>
          <w:bottom w:val="single" w:color="C9A227" w:sz="6" w:space="2"/>
        </w:pBdr>
        <w:spacing w:after="11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Rating scorecard and notch bridge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38"/>
        <w:gridCol w:w="1000"/>
        <w:gridCol w:w="2000"/>
        <w:gridCol w:w="2000"/>
      </w:tblGrid>
      <w:tr>
        <w:trPr>
          <w:tblHeader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 (blend)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Debt / PBILDT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4.17x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Overall gearing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1.21x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Interest coverage (PBILDT / interest)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3.73x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Cash accruals / term-debt repayment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1.29x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9.1%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PBILDT margin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17.8%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Operating scale (revenue ₹ Cr)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1,641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Cash conversion (CFO / PBILDT)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81.4%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Track record &amp; market position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qualitative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&amp; geographic diversity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qualitative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concentration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qualitative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End-market cyclicality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qualitative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Raw-material &amp; tariff exposure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qualitative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Promoter experience &amp; commitment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qualitative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Governance &amp; disclosure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qualitative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Liquid investments &amp; cash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qualitative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Working-capital headroom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qualitative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Access to capital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qualitative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Weighted score / grade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fin. 6.04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6.52 → BBB</w:t>
            </w:r>
          </w:p>
        </w:tc>
      </w:tr>
    </w:tbl>
    <w:p>
      <w:pPr>
        <w:spacing w:after="4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  <w:jc w:val="center"/>
      </w:pPr>
      <w:r>
        <w:drawing>
          <wp:inline distT="0" distB="0" distL="0" distR="0">
            <wp:extent cx="5905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Figure 4 — Score after each cumulative adjustment (python/rating_bridge.py)</w:t>
      </w:r>
    </w:p>
    <w:p>
      <w:pPr>
        <w:spacing w:after="110" w:before="0" w:line="276"/>
      </w:pPr>
      <w:r>
        <w:rPr>
          <w:rFonts w:ascii="Arial" w:cs="Arial" w:eastAsia="Arial" w:hAnsi="Arial"/>
          <w:sz w:val="19"/>
          <w:szCs w:val="19"/>
        </w:rPr>
        <w:t xml:space="preserve">The bridge ends at A-, one notch below CARE. I attribute the residual notch to what an outside analyst cannot see: management's detailed projections, lender discussions and the weight CARE gives to a five-decade track record. I would not override the scorecard to force a match — the gap is itself the finding.</w:t>
      </w:r>
    </w:p>
    <w:p>
      <w:pPr>
        <w:pStyle w:val="Heading1"/>
        <w:pBdr>
          <w:bottom w:val="single" w:color="C9A227" w:sz="6" w:space="2"/>
        </w:pBdr>
        <w:spacing w:after="11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Reconciliation with CARE's figures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9"/>
          <w:szCs w:val="19"/>
        </w:rPr>
        <w:t xml:space="preserve">Revenue, PBILDT, PAT, interest coverage and ROCE reconcile to CARE within 3%.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9"/>
          <w:szCs w:val="19"/>
        </w:rPr>
        <w:t xml:space="preserve">Gearing and debt/PBILDT do not reconcile for FY26: CARE's 1.10x gearing and 3.84x debt/PBILDT imply ~₹1,075 Cr of debt, versus ₹1,235 Cr in the reported balance sheet. FY24 and FY25 gearing do reconcile, so the gap is specific to FY26 — most likely a classification difference (such as lease liabilities or acceptances). I keep the higher figure as the conservative base and test CARE's figure in the bridge.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9"/>
          <w:szCs w:val="19"/>
        </w:rPr>
        <w:t xml:space="preserve">CARE's text quotes FY26 interest coverage of 3.98x while its own table shows 3.58x; the table matches PBILDT ÷ interest.</w:t>
      </w:r>
    </w:p>
    <w:p>
      <w:pPr>
        <w:pStyle w:val="Heading1"/>
        <w:pBdr>
          <w:bottom w:val="single" w:color="C9A227" w:sz="6" w:space="2"/>
        </w:pBdr>
        <w:spacing w:after="11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Key monitorables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8"/>
        <w:gridCol w:w="1400"/>
        <w:gridCol w:w="1400"/>
        <w:gridCol w:w="1400"/>
        <w:gridCol w:w="1800"/>
      </w:tblGrid>
      <w:tr>
        <w:trPr>
          <w:tblHeader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CARE trigger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Threshold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FY26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FY27E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Upgrade: gearing below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0.80x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1.27x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1.12x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met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Upgrade: debt / PBILDT below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3.00x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4.41x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3.80x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met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Upgrade: ROCE above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9.0%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9.3%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met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Downgrade: gross gearing above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1.50x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1.27x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1.12x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met</w:t>
            </w:r>
          </w:p>
        </w:tc>
      </w:tr>
    </w:tbl>
    <w:p>
      <w:pPr>
        <w:spacing w:after="4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9"/>
          <w:szCs w:val="19"/>
        </w:rPr>
        <w:t xml:space="preserve">Upside: reaching debt/PBILDT below 3.0x at FY27E PBILDT needs about ₹248 Cr of debt reduction, or PBILDT near ₹390 Cr at current debt — realistic only after FY28 if the new presses ramp up fully.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9"/>
          <w:szCs w:val="19"/>
        </w:rPr>
        <w:t xml:space="preserve">Downside: gearing is well inside the 1.5x trigger, so the nearer risks are a CV downturn, a renewed US tariff shock, or liquid investments being used for capex.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9"/>
          <w:szCs w:val="19"/>
        </w:rPr>
        <w:t xml:space="preserve">Watch: quarterly PBILDT versus the ~₹77 Cr/quarter needed for the base case, debtor days, CWIP capitalisation and the nature of the Q1 FY27 other income.</w:t>
      </w:r>
    </w:p>
    <w:p>
      <w:pPr>
        <w:pStyle w:val="Heading1"/>
        <w:pBdr>
          <w:bottom w:val="single" w:color="C9A227" w:sz="6" w:space="2"/>
        </w:pBdr>
        <w:spacing w:after="11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Sources and limitations</w:t>
      </w:r>
    </w:p>
    <w:p>
      <w:pPr>
        <w:spacing w:after="110" w:before="0" w:line="276"/>
      </w:pPr>
      <w:r>
        <w:rPr>
          <w:rFonts w:ascii="Arial" w:cs="Arial" w:eastAsia="Arial" w:hAnsi="Arial"/>
          <w:sz w:val="17"/>
          <w:szCs w:val="17"/>
        </w:rPr>
        <w:t xml:space="preserve">Financials: Screener.in consolidated data (C-MOTS), accessed 18-Sep-2026. Rating, liquidity, repayment and business details: CARE Ratings press release on M M Forgings Ltd, 30 June 2026. Quarterly results: company filings as summarised by Screener and Business Standard (May 2026). Screener's balance sheet is aggregated, so inventory and receivable levels are not separately available; working-capital analysis uses reported day-counts. FY27E figures are my estimates. Scorecard weights, grids and PDs are illustrative, not calibrated to default data.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4"/>
        <w:szCs w:val="14"/>
      </w:rPr>
      <w:t xml:space="preserve">Independent Credit Rating Note  |  M M Forgings Ltd  |  Public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4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7f71d1bb5d6dfa0c2915819e6e497a60575fdf.png"/><Relationship Id="rId10" Type="http://schemas.openxmlformats.org/officeDocument/2006/relationships/image" Target="media/a82c9008aabc7db83a19e62e9565378ccfd68a6b.png"/><Relationship Id="rId11" Type="http://schemas.openxmlformats.org/officeDocument/2006/relationships/image" Target="media/138705718dcca49625cd36b9fc812d6e3fc47ac0.png"/><Relationship Id="rId12" Type="http://schemas.openxmlformats.org/officeDocument/2006/relationships/image" Target="media/13ea9c9bf568c8148b1fb8102d4a749aeb7c09b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2026-09-18T07:17:04.172Z</dcterms:created>
  <dcterms:modified xsi:type="dcterms:W3CDTF">2026-09-18T07:17:04.172Z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