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FE85" w14:textId="0E0CEC7E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 xml:space="preserve">Η </w:t>
      </w:r>
      <w:r w:rsidRPr="00107498">
        <w:rPr>
          <w:rFonts w:ascii="Times New Roman" w:hAnsi="Times New Roman" w:cs="Times New Roman"/>
          <w:i/>
          <w:iCs/>
          <w:sz w:val="32"/>
          <w:szCs w:val="32"/>
        </w:rPr>
        <w:t>σωστή</w:t>
      </w:r>
      <w:r w:rsidR="00050401" w:rsidRPr="00107498">
        <w:rPr>
          <w:rFonts w:ascii="Times New Roman" w:hAnsi="Times New Roman" w:cs="Times New Roman"/>
          <w:i/>
          <w:iCs/>
          <w:sz w:val="32"/>
          <w:szCs w:val="32"/>
          <w:lang w:val="en-US"/>
        </w:rPr>
        <w:t/>
      </w:r>
      <w:proofErr w:type="spellStart"/>
      <w:r w:rsidRPr="00107498">
        <w:rPr>
          <w:rFonts w:ascii="Times New Roman" w:hAnsi="Times New Roman" w:cs="Times New Roman"/>
          <w:i/>
          <w:iCs/>
          <w:sz w:val="32"/>
          <w:szCs w:val="32"/>
        </w:rPr>
        <w:t/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</w:t>
      </w:r>
      <w:r w:rsidRPr="00107498">
        <w:rPr>
          <w:rFonts w:ascii="Times New Roman" w:hAnsi="Times New Roman" w:cs="Times New Roman"/>
          <w:i/>
          <w:iCs/>
          <w:sz w:val="32"/>
          <w:szCs w:val="32"/>
        </w:rPr>
        <w:t>ερμηνεία</w:t>
      </w:r>
      <w:r w:rsidRPr="005F054E">
        <w:rPr>
          <w:rFonts w:ascii="Times New Roman" w:hAnsi="Times New Roman" w:cs="Times New Roman"/>
          <w:sz w:val="32"/>
          <w:szCs w:val="32"/>
        </w:rPr>
        <w:t xml:space="preserve"> των αριθμών τόσο στην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τριαδολογία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όσο και στη χριστολογία του Δαμασκηνού συντείνει ασφαλώς στη βαθύτερη κατανόηση αμφοτέρων των δογμάτων. Η παράθεση λόγου χάρη των υποστάσεων της </w:t>
      </w:r>
      <w:r w:rsidR="00050401">
        <w:rPr>
          <w:rFonts w:ascii="Times New Roman" w:hAnsi="Times New Roman" w:cs="Times New Roman"/>
          <w:sz w:val="32"/>
          <w:szCs w:val="32"/>
        </w:rPr>
        <w:t xml:space="preserve">Αγίας Τριάδος</w:t>
      </w:r>
      <w:r w:rsidRPr="005F054E">
        <w:rPr>
          <w:rFonts w:ascii="Times New Roman" w:hAnsi="Times New Roman" w:cs="Times New Roman"/>
          <w:sz w:val="32"/>
          <w:szCs w:val="32"/>
        </w:rPr>
        <w:t xml:space="preserve"/>
      </w:r>
      <w:proofErr w:type="spellStart"/>
      <w:r w:rsidR="00050401">
        <w:rPr>
          <w:rFonts w:ascii="Times New Roman" w:hAnsi="Times New Roman" w:cs="Times New Roman"/>
          <w:sz w:val="32"/>
          <w:szCs w:val="32"/>
        </w:rPr>
        <w:t/>
      </w:r>
      <w:r w:rsidRPr="005F054E">
        <w:rPr>
          <w:rFonts w:ascii="Times New Roman" w:hAnsi="Times New Roman" w:cs="Times New Roman"/>
          <w:sz w:val="32"/>
          <w:szCs w:val="32"/>
        </w:rPr>
        <w:t/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πάντοτε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ἐν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ἀλλήλαις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Style w:val="a4"/>
          <w:rFonts w:ascii="Times New Roman" w:hAnsi="Times New Roman" w:cs="Times New Roman"/>
          <w:i/>
          <w:sz w:val="32"/>
          <w:szCs w:val="32"/>
        </w:rPr>
        <w:footnoteReference w:id="1"/>
      </w:r>
      <w:r w:rsidRPr="00644817">
        <w:rPr>
          <w:rFonts w:ascii="Times New Roman" w:hAnsi="Times New Roman" w:cs="Times New Roman"/>
          <w:iCs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δηλαδή</w:t>
      </w:r>
      <w:r w:rsidRPr="00644817">
        <w:rPr>
          <w:rFonts w:ascii="Times New Roman" w:hAnsi="Times New Roman" w:cs="Times New Roman"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με τρόπο που να συνυφαίνεται η σχέση του ενός προσώπου με το άλλο, Πατήρ - Υιός – Άγιο Πνεύμα, υπογραμμίζει τη μία, απλή,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υπερτελή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προτέλεια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ουσία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2"/>
      </w:r>
      <w:r w:rsidRPr="005F054E">
        <w:rPr>
          <w:rFonts w:ascii="Times New Roman" w:hAnsi="Times New Roman" w:cs="Times New Roman"/>
          <w:sz w:val="32"/>
          <w:szCs w:val="32"/>
        </w:rPr>
        <w:t xml:space="preserve"> που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περιχωρείται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στις υποστάσεις με αποτέλεσμα να αποκλείεται ο κίνδυνος εισαγωγής δήμου θεών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3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014CDA4F" w14:textId="61E872D2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Καθίσταται, λοιπόν, σαφές διά πολλών παραδειγμάτων ότι η μία ουσία του Θεού δεν παραβλάπτεται από την τριαδικότητα των υποστάσεων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4"/>
      </w:r>
      <w:r w:rsidRPr="005F054E">
        <w:rPr>
          <w:rFonts w:ascii="Times New Roman" w:hAnsi="Times New Roman" w:cs="Times New Roman"/>
          <w:sz w:val="32"/>
          <w:szCs w:val="32"/>
        </w:rPr>
        <w:t xml:space="preserve">. Εξάλλου, στην ενότητα του Τριαδικού Θεού αναγόμαστε και μέσα από το θέλημα των προσώπων της Τριάδος, το οποίο είναι φυσικό, διότι τα πρόσωπα θέλουν και ενεργούν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ενιαίως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. Μολονότι διάφορος η εκάστου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ύπαρξις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άρα τρεις υποστάσεις, η ενέργεια και η θέλησή τους είναι μία και ενιαία, άρα</w:t>
      </w:r>
      <w:r w:rsidRPr="008A7DFF"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εἷς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ο </w:t>
      </w:r>
      <w:r w:rsidR="00050401">
        <w:rPr>
          <w:rFonts w:ascii="Times New Roman" w:hAnsi="Times New Roman" w:cs="Times New Roman"/>
          <w:sz w:val="32"/>
          <w:szCs w:val="32"/>
        </w:rPr>
        <w:t>Θεός</w:t>
      </w:r>
      <w:r w:rsidRPr="005F054E">
        <w:rPr>
          <w:rFonts w:ascii="Times New Roman" w:hAnsi="Times New Roman" w:cs="Times New Roman"/>
          <w:sz w:val="32"/>
          <w:szCs w:val="32"/>
        </w:rPr>
        <w:t xml:space="preserve"> και όχι τρεις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5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7C5FBFB1" w14:textId="19D1DAD7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 xml:space="preserve">Απεναντίας, η θέληση και η ενέργεια των ανθρώπων δεν μπορεί να είναι μία και ενιαία, διότι υφίσταται καισαρική διαφορά μεταξύ της θέλησης ως κοινού φυσικού ανθρωπολογικού ιδιώματος – η βρώση λόγου χάρη είναι φυσικό ιδίωμα – και του πώς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–</w:t>
      </w:r>
      <w:r w:rsidRPr="008A7DFF">
        <w:t xml:space="preserve"> </w:t>
      </w:r>
      <w:r>
        <w:t xml:space="preserve"> 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ἡ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ἐπιτεταμένη</w:t>
      </w:r>
      <w:proofErr w:type="spellEnd"/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καὶ</w:t>
      </w:r>
      <w:proofErr w:type="spellEnd"/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ἀνειμένη</w:t>
      </w:r>
      <w:proofErr w:type="spellEnd"/>
      <w:r w:rsidRPr="008A7DFF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Fonts w:ascii="Times New Roman" w:hAnsi="Times New Roman" w:cs="Times New Roman"/>
          <w:sz w:val="32"/>
          <w:szCs w:val="32"/>
        </w:rPr>
        <w:t>επιθυμία</w:t>
      </w:r>
      <w:r>
        <w:rPr>
          <w:rFonts w:ascii="Times New Roman" w:hAnsi="Times New Roman" w:cs="Times New Roman"/>
          <w:sz w:val="32"/>
          <w:szCs w:val="32"/>
        </w:rPr>
        <w:t xml:space="preserve"> -</w:t>
      </w:r>
      <w:r w:rsidRPr="005F054E">
        <w:rPr>
          <w:rFonts w:ascii="Times New Roman" w:hAnsi="Times New Roman" w:cs="Times New Roman"/>
          <w:sz w:val="32"/>
          <w:szCs w:val="32"/>
        </w:rPr>
        <w:t xml:space="preserve">. Επομένως το πώς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ή το διαφόρως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είναι </w:t>
      </w:r>
      <w:r w:rsidRPr="005F054E">
        <w:rPr>
          <w:rFonts w:ascii="Times New Roman" w:hAnsi="Times New Roman" w:cs="Times New Roman"/>
          <w:sz w:val="32"/>
          <w:szCs w:val="32"/>
        </w:rPr>
        <w:lastRenderedPageBreak/>
        <w:t xml:space="preserve">υποστατικό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ιδίωμα</w:t>
      </w:r>
      <w:r w:rsidR="00050401">
        <w:rPr>
          <w:rFonts w:ascii="Times New Roman" w:hAnsi="Times New Roman" w:cs="Times New Roman"/>
          <w:sz w:val="32"/>
          <w:szCs w:val="32"/>
        </w:rPr>
        <w:t/>
      </w:r>
      <w:r w:rsidRPr="005F054E">
        <w:rPr>
          <w:rFonts w:ascii="Times New Roman" w:hAnsi="Times New Roman" w:cs="Times New Roman"/>
          <w:sz w:val="32"/>
          <w:szCs w:val="32"/>
        </w:rPr>
        <w:t/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εκφράζει την ιδιότροπη και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ιδιαίρετη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κίνηση ενός εκάστου, την υποστατική του διαφορά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6"/>
      </w:r>
      <w:r w:rsidRPr="005F054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C765D45" w14:textId="0049F5F2" w:rsidR="00FC561B" w:rsidRDefault="003A3B73" w:rsidP="003A3B73">
      <w:r>
        <w:rPr>
          <w:rFonts w:ascii="Times New Roman" w:hAnsi="Times New Roman" w:cs="Times New Roman"/>
          <w:sz w:val="32"/>
          <w:szCs w:val="32"/>
        </w:rPr>
        <w:t>«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Οἱ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ἄνθρωποι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γνώμῃ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μερίζονται μεταξύ τους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καὶ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καθένας θέλει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καὶ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ἐνεργεῖ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κατ’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οἰκείαν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γνώμην</w:t>
      </w:r>
      <w:proofErr w:type="spellEnd"/>
      <w:r>
        <w:rPr>
          <w:rFonts w:ascii="Times New Roman" w:hAnsi="Times New Roman" w:cs="Times New Roman"/>
          <w:sz w:val="32"/>
          <w:szCs w:val="32"/>
        </w:rPr>
        <w:t>»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7"/>
      </w:r>
      <w:r w:rsidRPr="005F054E">
        <w:rPr>
          <w:rFonts w:ascii="Times New Roman" w:hAnsi="Times New Roman" w:cs="Times New Roman"/>
          <w:sz w:val="32"/>
          <w:szCs w:val="32"/>
        </w:rPr>
        <w:t>. Και ενώ η θέληση, η δύναμη της θέλησης και γενικά το να θέλει κανείς είναι φυσικό,</w:t>
      </w:r>
    </w:p>
    <w:sectPr w:rsidR="00FC56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AD744" w14:textId="77777777" w:rsidR="00EB1EA9" w:rsidRDefault="00EB1EA9" w:rsidP="003A3B73">
      <w:pPr>
        <w:spacing w:after="0" w:line="240" w:lineRule="auto"/>
      </w:pPr>
      <w:r>
        <w:separator/>
      </w:r>
    </w:p>
  </w:endnote>
  <w:endnote w:type="continuationSeparator" w:id="0">
    <w:p w14:paraId="3CFC02AF" w14:textId="77777777" w:rsidR="00EB1EA9" w:rsidRDefault="00EB1EA9" w:rsidP="003A3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AE9B2" w14:textId="77777777" w:rsidR="00EB1EA9" w:rsidRDefault="00EB1EA9" w:rsidP="003A3B73">
      <w:pPr>
        <w:spacing w:after="0" w:line="240" w:lineRule="auto"/>
      </w:pPr>
      <w:r>
        <w:separator/>
      </w:r>
    </w:p>
  </w:footnote>
  <w:footnote w:type="continuationSeparator" w:id="0">
    <w:p w14:paraId="7621E6D4" w14:textId="77777777" w:rsidR="00EB1EA9" w:rsidRDefault="00EB1EA9" w:rsidP="003A3B73">
      <w:pPr>
        <w:spacing w:after="0" w:line="240" w:lineRule="auto"/>
      </w:pPr>
      <w:r>
        <w:continuationSeparator/>
      </w:r>
    </w:p>
  </w:footnote>
  <w:footnote w:id="1">
    <w:p w14:paraId="306D01AF" w14:textId="77777777" w:rsidR="003A3B73" w:rsidRPr="00D24D78" w:rsidRDefault="003A3B73" w:rsidP="003A3B73">
      <w:pPr>
        <w:pStyle w:val="a3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94, 1000</w:t>
      </w:r>
      <w:r w:rsidRPr="00D24D78">
        <w:rPr>
          <w:rFonts w:ascii="Times New Roman" w:hAnsi="Times New Roman"/>
          <w:sz w:val="24"/>
          <w:szCs w:val="24"/>
          <w:lang w:val="en-US"/>
        </w:rPr>
        <w:t>B</w:t>
      </w:r>
      <w:r w:rsidRPr="00D24D78">
        <w:rPr>
          <w:rFonts w:ascii="Times New Roman" w:hAnsi="Times New Roman"/>
          <w:sz w:val="24"/>
          <w:szCs w:val="24"/>
        </w:rPr>
        <w:t>.</w:t>
      </w:r>
    </w:p>
  </w:footnote>
  <w:footnote w:id="2">
    <w:p w14:paraId="60E655F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94, 824</w:t>
      </w:r>
      <w:r w:rsidRPr="00D24D78">
        <w:rPr>
          <w:rFonts w:ascii="Times New Roman" w:hAnsi="Times New Roman"/>
          <w:sz w:val="24"/>
          <w:szCs w:val="24"/>
          <w:lang w:val="en-US"/>
        </w:rPr>
        <w:t>D.</w:t>
      </w:r>
    </w:p>
  </w:footnote>
  <w:footnote w:id="3">
    <w:p w14:paraId="7F7CC03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94, 825</w:t>
      </w:r>
      <w:r w:rsidRPr="00D24D78">
        <w:rPr>
          <w:rFonts w:ascii="Times New Roman" w:hAnsi="Times New Roman"/>
          <w:sz w:val="24"/>
          <w:szCs w:val="24"/>
          <w:lang w:val="en-US"/>
        </w:rPr>
        <w:t>A</w:t>
      </w:r>
      <w:r w:rsidRPr="00D24D78">
        <w:rPr>
          <w:rFonts w:ascii="Times New Roman" w:hAnsi="Times New Roman"/>
          <w:sz w:val="24"/>
          <w:szCs w:val="24"/>
        </w:rPr>
        <w:t xml:space="preserve">. </w:t>
      </w:r>
    </w:p>
  </w:footnote>
  <w:footnote w:id="4">
    <w:p w14:paraId="6FE6F5DD" w14:textId="3A58AFAE" w:rsidR="003A3B73" w:rsidRPr="00DE7B1D" w:rsidRDefault="003A3B73" w:rsidP="003A3B7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="00DE7B1D">
        <w:rPr>
          <w:rFonts w:ascii="Times New Roman" w:hAnsi="Times New Roman" w:cs="Times New Roman"/>
          <w:sz w:val="24"/>
          <w:szCs w:val="24"/>
          <w:lang w:val="en-US"/>
        </w:rPr>
        <w:t>Η</w:t>
      </w:r>
      <w:r w:rsidRPr="00D24D78">
        <w:rPr>
          <w:rFonts w:ascii="Times New Roman" w:hAnsi="Times New Roman" w:cs="Times New Roman"/>
          <w:sz w:val="24"/>
          <w:szCs w:val="24"/>
        </w:rPr>
        <w:t xml:space="preserve"> πραγματικότητα αυτή είχε τονιστεί από τους Πατέρες ήδη πριν τη Νίκαια· είχε ήδη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δηλαδή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αρχίσει όχι μόνο να χρησιμοποιείται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αλλά και να εμπεδώνεται σε λειτουργικά και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βαπτισματικά</w:t>
      </w:r>
      <w:proofErr w:type="spellEnd"/>
      <w:r w:rsidRPr="00D24D78">
        <w:rPr>
          <w:rFonts w:ascii="Times New Roman" w:hAnsi="Times New Roman" w:cs="Times New Roman"/>
          <w:sz w:val="24"/>
          <w:szCs w:val="24"/>
        </w:rPr>
        <w:t xml:space="preserve"> σύμβολα η </w:t>
      </w:r>
      <w:r>
        <w:rPr>
          <w:rFonts w:ascii="Times New Roman" w:hAnsi="Times New Roman" w:cs="Times New Roman"/>
          <w:sz w:val="24"/>
          <w:szCs w:val="24"/>
        </w:rPr>
        <w:t>Τ</w:t>
      </w:r>
      <w:r w:rsidRPr="00D24D78">
        <w:rPr>
          <w:rFonts w:ascii="Times New Roman" w:hAnsi="Times New Roman" w:cs="Times New Roman"/>
          <w:sz w:val="24"/>
          <w:szCs w:val="24"/>
        </w:rPr>
        <w:t xml:space="preserve">ριάδα των προσώπων, η οποία δεν ήταν αντίθετη στην ενότητα της ουσίας. </w:t>
      </w:r>
      <w:r w:rsidRPr="00D24D78">
        <w:rPr>
          <w:rFonts w:ascii="Times New Roman" w:hAnsi="Times New Roman" w:cs="Times New Roman"/>
          <w:sz w:val="24"/>
          <w:szCs w:val="24"/>
        </w:rPr>
        <w:t>Εξαιρετική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ε</w:t>
      </w:r>
      <w:r w:rsidR="00DE7B1D">
        <w:rPr>
          <w:rFonts w:ascii="Times New Roman" w:hAnsi="Times New Roman" w:cs="Times New Roman"/>
          <w:sz w:val="24"/>
          <w:szCs w:val="24"/>
        </w:rPr>
        <w:t>ί</w:t>
      </w:r>
      <w:r w:rsidRPr="00D24D78">
        <w:rPr>
          <w:rFonts w:ascii="Times New Roman" w:hAnsi="Times New Roman" w:cs="Times New Roman"/>
          <w:sz w:val="24"/>
          <w:szCs w:val="24"/>
        </w:rPr>
        <w:t>ναι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η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ανάλυ</w:t>
      </w:r>
      <w:r w:rsidR="00DE7B1D">
        <w:rPr>
          <w:rFonts w:ascii="Times New Roman" w:hAnsi="Times New Roman" w:cs="Times New Roman"/>
          <w:sz w:val="24"/>
          <w:szCs w:val="24"/>
        </w:rPr>
        <w:t>ση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εν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προκειμένω</w:t>
      </w:r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τ</w:t>
      </w:r>
      <w:r w:rsidR="00DE7B1D">
        <w:rPr>
          <w:rFonts w:ascii="Times New Roman" w:hAnsi="Times New Roman" w:cs="Times New Roman"/>
          <w:sz w:val="24"/>
          <w:szCs w:val="24"/>
        </w:rPr>
        <w:t>ο</w:t>
      </w:r>
      <w:r w:rsidRPr="00DE7B1D">
        <w:rPr>
          <w:rFonts w:ascii="Times New Roman" w:hAnsi="Times New Roman" w:cs="Times New Roman"/>
          <w:sz w:val="24"/>
          <w:szCs w:val="24"/>
        </w:rPr>
        <w:t xml:space="preserve">υ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 Lake</w:t>
      </w:r>
      <w:r w:rsidRPr="00DE7B1D">
        <w:rPr>
          <w:rFonts w:ascii="Times New Roman" w:hAnsi="Times New Roman" w:cs="Times New Roman"/>
          <w:sz w:val="24"/>
          <w:szCs w:val="24"/>
        </w:rPr>
        <w:t xml:space="preserve">n</w:t>
      </w:r>
      <w:proofErr w:type="spellStart"/>
      <w:r w:rsidRPr="00D24D78">
        <w:rPr>
          <w:rFonts w:ascii="Times New Roman" w:hAnsi="Times New Roman" w:cs="Times New Roman"/>
          <w:sz w:val="24"/>
          <w:szCs w:val="24"/>
          <w:lang w:val="en-US"/>
        </w:rPr>
        <w:t> Hendron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στο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έργο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του</w:t>
      </w:r>
      <w:r w:rsidRPr="00DE7B1D">
        <w:rPr>
          <w:rFonts w:ascii="Times New Roman" w:hAnsi="Times New Roman" w:cs="Times New Roman"/>
          <w:sz w:val="24"/>
          <w:szCs w:val="24"/>
        </w:rPr>
        <w:t>.</w:t>
      </w:r>
    </w:p>
  </w:footnote>
  <w:footnote w:id="5">
    <w:p w14:paraId="0A73111B" w14:textId="77777777" w:rsidR="003A3B73" w:rsidRPr="008A7DFF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rFonts w:ascii="Times New Roman" w:hAnsi="Times New Roman" w:cs="Times New Roman"/>
          <w:sz w:val="24"/>
          <w:szCs w:val="24"/>
        </w:rPr>
        <w:footnoteRef/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Ιωάννου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Δαμασκηνού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Περί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εν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Χριστώ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δύο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θελημάτων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Ὥστε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Πατρός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Υἱοῦ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ἁγίου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Πνεύματος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μὲν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ὕπαρξις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τρεῖς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εἰσίν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οὐκ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ἰδιοτρόπως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οὐδὲ</w:t>
      </w:r>
      <w:proofErr w:type="spellEnd"/>
      <w:r w:rsidRPr="008A7DFF">
        <w:rPr>
          <w:lang w:val="en-US"/>
        </w:rPr>
        <w:t xml:space="preserve"> </w:t>
      </w:r>
      <w:proofErr w:type="spellStart"/>
      <w:r w:rsidRPr="008A7DFF">
        <w:rPr>
          <w:rFonts w:ascii="Times New Roman" w:hAnsi="Times New Roman" w:cs="Times New Roman"/>
          <w:sz w:val="24"/>
          <w:szCs w:val="24"/>
        </w:rPr>
        <w:t>ἰδιαιρέτως</w:t>
      </w:r>
      <w:proofErr w:type="spellEnd"/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θέλει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ἐνεργεῖ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ἀλλ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ἑνιαίως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τρεῖς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θεοὶ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ἀλλ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7DFF">
        <w:rPr>
          <w:rFonts w:ascii="Times New Roman" w:hAnsi="Times New Roman" w:cs="Times New Roman"/>
          <w:sz w:val="24"/>
          <w:szCs w:val="24"/>
          <w:lang w:val="en-US"/>
        </w:rPr>
        <w:t>εἷς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Θεός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». 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</w:footnote>
  <w:footnote w:id="6">
    <w:p w14:paraId="7B63E8FC" w14:textId="77777777" w:rsidR="003A3B73" w:rsidRPr="00CE09DD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CE09DD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</w:rPr>
        <w:t>Β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Εἰδέναι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τοίνυν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χρή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ὅτι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πᾶσα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ἀνθρώπων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ἔχει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τό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εἶναι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ἐκ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ὄντων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εἶναι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Δημιουργοῦ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παρῆχθαι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κτιστόν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τό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ζωτικὸν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ἐνεργητικόν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αἰσθητικόν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νοερὸν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λογικὸν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ὀρεκτικόν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θελητικὸν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ἐξ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ουσίας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συμβεβηκότων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ὑφίστασθαι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ταῦτα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οὗν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οὐσιώδη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εἰσὶ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φυσικά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ἰδιαίρετος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κίνησις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ὑποστατικὴ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διαφορά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μὲν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γὰρ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μετέχειν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ταυτὸν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τῆς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φύσεως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παρίστησιν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τρόπος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τῆς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ὑπάρξεως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ἰδιοσύστατος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σύμπηξις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ἰδιοκίνητος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τῶν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φυσικῶν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χρῆσις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ἀποτετμημένας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τὰς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δείκνυσι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πολλοὺς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λέγεσθαι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τοὺς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ἀνθρώπους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ποιεῖ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>».</w:t>
      </w:r>
    </w:p>
  </w:footnote>
  <w:footnote w:id="7">
    <w:p w14:paraId="42EE03E2" w14:textId="77777777" w:rsidR="003A3B73" w:rsidRPr="00036081" w:rsidRDefault="003A3B73" w:rsidP="003A3B73">
      <w:pPr>
        <w:pStyle w:val="a3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036081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3608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95, 152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73"/>
    <w:rsid w:val="00050401"/>
    <w:rsid w:val="00107498"/>
    <w:rsid w:val="003A3B73"/>
    <w:rsid w:val="00DE7B1D"/>
    <w:rsid w:val="00EB1EA9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EEED9"/>
  <w15:chartTrackingRefBased/>
  <w15:docId w15:val="{7F1AA646-07FA-4C86-8E50-3FF8599F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B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nhideWhenUsed/>
    <w:rsid w:val="003A3B73"/>
    <w:pPr>
      <w:spacing w:after="0" w:line="240" w:lineRule="auto"/>
    </w:pPr>
    <w:rPr>
      <w:sz w:val="20"/>
      <w:szCs w:val="20"/>
    </w:rPr>
  </w:style>
  <w:style w:type="character" w:customStyle="1" w:styleId="Char">
    <w:name w:val="Κείμενο υποσημείωσης Char"/>
    <w:basedOn w:val="a0"/>
    <w:link w:val="a3"/>
    <w:rsid w:val="003A3B73"/>
    <w:rPr>
      <w:sz w:val="20"/>
      <w:szCs w:val="20"/>
    </w:rPr>
  </w:style>
  <w:style w:type="character" w:styleId="a4">
    <w:name w:val="footnote reference"/>
    <w:basedOn w:val="a0"/>
    <w:uiPriority w:val="99"/>
    <w:semiHidden/>
    <w:unhideWhenUsed/>
    <w:rsid w:val="003A3B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243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Barbou</dc:creator>
  <cp:keywords/>
  <dc:description/>
  <cp:lastModifiedBy>George Barbou</cp:lastModifiedBy>
  <cp:revision>4</cp:revision>
  <dcterms:created xsi:type="dcterms:W3CDTF">2026-01-27T21:19:00Z</dcterms:created>
  <dcterms:modified xsi:type="dcterms:W3CDTF">2026-01-28T00:18:00Z</dcterms:modified>
</cp:coreProperties>
</file>