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C8102E"/>
          <w:spacing w:val="60"/>
          <w:sz w:val="22"/>
          <w:szCs w:val="22"/>
        </w:rPr>
        <w:t xml:space="preserve">PROPOSAL &amp; QUOTE</w:t>
      </w:r>
    </w:p>
    <w:p>
      <w:pPr>
        <w:spacing w:after="0" w:before="120"/>
      </w:pPr>
      <w:r>
        <w:rPr>
          <w:b/>
          <w:bCs/>
          <w:color w:val="1A1A2E"/>
          <w:sz w:val="52"/>
          <w:szCs w:val="52"/>
        </w:rPr>
        <w:t xml:space="preserve">Live Event Scoreboard</w:t>
      </w:r>
    </w:p>
    <w:p>
      <w:pPr>
        <w:spacing w:after="0" w:before="40"/>
      </w:pPr>
      <w:r>
        <w:rPr>
          <w:color w:val="3A4A5C"/>
          <w:sz w:val="30"/>
          <w:szCs w:val="30"/>
        </w:rPr>
        <w:t xml:space="preserve">Time-Trial Leaderboard &amp; Display System</w:t>
      </w:r>
    </w:p>
    <w:p>
      <w:pPr>
        <w:pBdr>
          <w:bottom w:val="single" w:color="C8102E" w:sz="12" w:space="6"/>
        </w:pBdr>
        <w:spacing w:after="0" w:before="280"/>
      </w:pPr>
      <w:r>
        <w:t xml:space="preserve"/>
      </w:r>
    </w:p>
    <w:p>
      <w:pPr>
        <w:spacing w:after="220"/>
      </w:pPr>
      <w:r>
        <w:t xml:space="preserve"/>
      </w:r>
    </w:p>
    <w:p>
      <w:pPr>
        <w:spacing w:after="60"/>
      </w:pPr>
      <w:r>
        <w:rPr>
          <w:b/>
          <w:bCs/>
          <w:color w:val="3A4A5C"/>
          <w:sz w:val="22"/>
          <w:szCs w:val="22"/>
        </w:rPr>
        <w:t xml:space="preserve">Prepared by:  </w:t>
      </w:r>
      <w:r>
        <w:rPr>
          <w:color w:val="1A1A2E"/>
          <w:sz w:val="22"/>
          <w:szCs w:val="22"/>
        </w:rPr>
        <w:t xml:space="preserve">George Bratsos</w:t>
      </w:r>
    </w:p>
    <w:p>
      <w:pPr>
        <w:spacing w:after="60"/>
      </w:pPr>
      <w:r>
        <w:rPr>
          <w:b/>
          <w:bCs/>
          <w:color w:val="3A4A5C"/>
          <w:sz w:val="22"/>
          <w:szCs w:val="22"/>
        </w:rPr>
        <w:t xml:space="preserve">Contact:  </w:t>
      </w:r>
      <w:r>
        <w:rPr>
          <w:color w:val="1A1A2E"/>
          <w:sz w:val="22"/>
          <w:szCs w:val="22"/>
        </w:rPr>
        <w:t xml:space="preserve">george.bratsos@atcom.gr</w:t>
      </w:r>
    </w:p>
    <w:p>
      <w:pPr>
        <w:spacing w:after="60"/>
      </w:pPr>
      <w:r>
        <w:rPr>
          <w:b/>
          <w:bCs/>
          <w:color w:val="3A4A5C"/>
          <w:sz w:val="22"/>
          <w:szCs w:val="22"/>
        </w:rPr>
        <w:t xml:space="preserve">Date:  </w:t>
      </w:r>
      <w:r>
        <w:rPr>
          <w:color w:val="1A1A2E"/>
          <w:sz w:val="22"/>
          <w:szCs w:val="22"/>
        </w:rPr>
        <w:t xml:space="preserve">28 June 2026</w:t>
      </w:r>
    </w:p>
    <w:p>
      <w:pPr>
        <w:spacing w:after="60"/>
      </w:pPr>
      <w:r>
        <w:rPr>
          <w:b/>
          <w:bCs/>
          <w:color w:val="3A4A5C"/>
          <w:sz w:val="22"/>
          <w:szCs w:val="22"/>
        </w:rPr>
        <w:t xml:space="preserve">Prepared for:  </w:t>
      </w:r>
      <w:r>
        <w:rPr>
          <w:i/>
          <w:iCs/>
          <w:color w:val="8A97A3"/>
          <w:sz w:val="22"/>
          <w:szCs w:val="22"/>
        </w:rPr>
        <w:t xml:space="preserve">[ Event / Client name ]</w:t>
      </w:r>
    </w:p>
    <w:p>
      <w:pPr>
        <w:spacing w:after="60"/>
      </w:pPr>
      <w:r>
        <w:rPr>
          <w:b/>
          <w:bCs/>
          <w:color w:val="3A4A5C"/>
          <w:sz w:val="22"/>
          <w:szCs w:val="22"/>
        </w:rPr>
        <w:t xml:space="preserve">Quote valid for:  </w:t>
      </w:r>
      <w:r>
        <w:rPr>
          <w:color w:val="1A1A2E"/>
          <w:sz w:val="22"/>
          <w:szCs w:val="22"/>
        </w:rPr>
        <w:t xml:space="preserve">30 days from date of issue</w:t>
      </w:r>
    </w:p>
    <w:p>
      <w:pPr>
        <w:spacing w:after="260"/>
      </w:pPr>
      <w:r>
        <w:t xml:space="preserve"/>
      </w:r>
    </w:p>
    <w:p>
      <w:pPr>
        <w:pBdr>
          <w:left w:val="single" w:color="C8102E" w:sz="18" w:space="8"/>
        </w:pBdr>
        <w:shd w:fill="EEF2F6" w:val="clear"/>
        <w:spacing w:after="60" w:before="60" w:line="290"/>
        <w:ind w:left="160" w:right="160"/>
      </w:pPr>
      <w:r>
        <w:rPr>
          <w:i/>
          <w:iCs/>
          <w:color w:val="1A1A2E"/>
          <w:sz w:val="22"/>
          <w:szCs w:val="22"/>
        </w:rPr>
        <w:t xml:space="preserve">A turn-key, custom-branded live scoreboard for your event: a big-screen public display that updates automatically as results are entered, plus a simple admin console for your staff. Built, hosted, and supported for the duration of the event.</w:t>
      </w:r>
    </w:p>
    <w:p>
      <w:r>
        <w:br w:type="page"/>
      </w:r>
    </w:p>
    <w:p>
      <w:pPr>
        <w:pStyle w:val="Heading1"/>
        <w:pBdr>
          <w:bottom w:val="single" w:color="C8102E" w:sz="6" w:space="4"/>
        </w:pBdr>
        <w:spacing w:after="140" w:before="320"/>
      </w:pPr>
      <w:r>
        <w:rPr>
          <w:b/>
          <w:bCs/>
          <w:color w:val="1A1A2E"/>
          <w:sz w:val="30"/>
          <w:szCs w:val="30"/>
        </w:rPr>
        <w:t xml:space="preserve">1.  What the system is</w:t>
      </w:r>
    </w:p>
    <w:p>
      <w:pPr>
        <w:spacing w:after="120" w:before="0" w:line="276"/>
      </w:pPr>
      <w:r>
        <w:rPr>
          <w:color w:val="1A1A2E"/>
          <w:sz w:val="22"/>
          <w:szCs w:val="22"/>
        </w:rPr>
        <w:t xml:space="preserve">The product is a real-time event scoreboard, purpose-built for a timed competition (a time-trial / fastest-lap format). It runs in any web browser and consists of two connected screens:</w:t>
      </w:r>
    </w:p>
    <w:p>
      <w:pPr>
        <w:pStyle w:val="ListParagraph"/>
        <w:numPr>
          <w:ilvl w:val="0"/>
          <w:numId w:val="2"/>
        </w:numPr>
        <w:spacing w:after="70" w:line="270"/>
      </w:pPr>
      <w:r>
        <w:rPr>
          <w:b/>
          <w:bCs/>
          <w:sz w:val="22"/>
          <w:szCs w:val="22"/>
        </w:rPr>
        <w:t xml:space="preserve">Public display screen </w:t>
      </w:r>
      <w:r>
        <w:rPr>
          <w:sz w:val="22"/>
          <w:szCs w:val="22"/>
        </w:rPr>
        <w:t xml:space="preserve">— a polished, big-screen leaderboard designed to project on a TV or projector at the venue. It shows the current leader, a podium (top three), a top-five panel, and a full results table with per-lap times, best lap, total time and points. It refreshes itself automatically, with no manual reload.</w:t>
      </w:r>
    </w:p>
    <w:p>
      <w:pPr>
        <w:pStyle w:val="ListParagraph"/>
        <w:numPr>
          <w:ilvl w:val="0"/>
          <w:numId w:val="2"/>
        </w:numPr>
        <w:spacing w:after="70" w:line="270"/>
      </w:pPr>
      <w:r>
        <w:rPr>
          <w:b/>
          <w:bCs/>
          <w:sz w:val="22"/>
          <w:szCs w:val="22"/>
        </w:rPr>
        <w:t xml:space="preserve">Admin console </w:t>
      </w:r>
      <w:r>
        <w:rPr>
          <w:sz w:val="22"/>
          <w:szCs w:val="22"/>
        </w:rPr>
        <w:t xml:space="preserve">— a private entry screen where your staff add competitors and type in lap times. Any cell can be clicked and edited inline; results can be deleted, cleared, and backed up. The moment results are saved, the public screen updates within seconds.</w:t>
      </w:r>
    </w:p>
    <w:p>
      <w:pPr>
        <w:spacing w:after="120" w:before="60" w:line="276"/>
      </w:pPr>
      <w:r>
        <w:rPr>
          <w:color w:val="1A1A2E"/>
          <w:sz w:val="22"/>
          <w:szCs w:val="22"/>
        </w:rPr>
        <w:t xml:space="preserve">The two screens stay in sync through a lightweight hosted data store, so the admin laptop and the display screen can be entirely separate devices — even on different networks.</w:t>
      </w:r>
    </w:p>
    <w:p>
      <w:pPr>
        <w:pStyle w:val="Heading2"/>
        <w:spacing w:after="100" w:before="220"/>
      </w:pPr>
      <w:r>
        <w:rPr>
          <w:b/>
          <w:bCs/>
          <w:color w:val="3A4A5C"/>
          <w:sz w:val="24"/>
          <w:szCs w:val="24"/>
        </w:rPr>
        <w:t xml:space="preserve">Headline features</w:t>
      </w:r>
    </w:p>
    <w:p>
      <w:pPr>
        <w:pStyle w:val="ListParagraph"/>
        <w:numPr>
          <w:ilvl w:val="0"/>
          <w:numId w:val="2"/>
        </w:numPr>
        <w:spacing w:after="70" w:line="270"/>
      </w:pPr>
      <w:r>
        <w:rPr>
          <w:b/>
          <w:bCs/>
          <w:sz w:val="22"/>
          <w:szCs w:val="22"/>
        </w:rPr>
        <w:t xml:space="preserve">Custom event branding </w:t>
      </w:r>
      <w:r>
        <w:rPr>
          <w:sz w:val="22"/>
          <w:szCs w:val="22"/>
        </w:rPr>
        <w:t xml:space="preserve">(logo, event name, colours, vehicle/sport graphics).</w:t>
      </w:r>
    </w:p>
    <w:p>
      <w:pPr>
        <w:pStyle w:val="ListParagraph"/>
        <w:numPr>
          <w:ilvl w:val="0"/>
          <w:numId w:val="2"/>
        </w:numPr>
        <w:spacing w:after="70" w:line="270"/>
      </w:pPr>
      <w:r>
        <w:rPr>
          <w:b/>
          <w:bCs/>
          <w:sz w:val="22"/>
          <w:szCs w:val="22"/>
        </w:rPr>
        <w:t xml:space="preserve">Up to 4 timed laps per competitor </w:t>
      </w:r>
      <w:r>
        <w:rPr>
          <w:sz w:val="22"/>
          <w:szCs w:val="22"/>
        </w:rPr>
        <w:t xml:space="preserve">with automatic best-lap and total-time calculation.</w:t>
      </w:r>
    </w:p>
    <w:p>
      <w:pPr>
        <w:pStyle w:val="ListParagraph"/>
        <w:numPr>
          <w:ilvl w:val="0"/>
          <w:numId w:val="2"/>
        </w:numPr>
        <w:spacing w:after="70" w:line="270"/>
      </w:pPr>
      <w:r>
        <w:rPr>
          <w:b/>
          <w:bCs/>
          <w:sz w:val="22"/>
          <w:szCs w:val="22"/>
        </w:rPr>
        <w:t xml:space="preserve">Automatic ranking </w:t>
      </w:r>
      <w:r>
        <w:rPr>
          <w:sz w:val="22"/>
          <w:szCs w:val="22"/>
        </w:rPr>
        <w:t xml:space="preserve">and a configurable championship-style points table.</w:t>
      </w:r>
    </w:p>
    <w:p>
      <w:pPr>
        <w:pStyle w:val="ListParagraph"/>
        <w:numPr>
          <w:ilvl w:val="0"/>
          <w:numId w:val="2"/>
        </w:numPr>
        <w:spacing w:after="70" w:line="270"/>
      </w:pPr>
      <w:r>
        <w:rPr>
          <w:b/>
          <w:bCs/>
          <w:sz w:val="22"/>
          <w:szCs w:val="22"/>
        </w:rPr>
        <w:t xml:space="preserve">Self-updating display </w:t>
      </w:r>
      <w:r>
        <w:rPr>
          <w:sz w:val="22"/>
          <w:szCs w:val="22"/>
        </w:rPr>
        <w:t xml:space="preserve">— no one needs to touch the screen during the event.</w:t>
      </w:r>
    </w:p>
    <w:p>
      <w:pPr>
        <w:pStyle w:val="ListParagraph"/>
        <w:numPr>
          <w:ilvl w:val="0"/>
          <w:numId w:val="2"/>
        </w:numPr>
        <w:spacing w:after="70" w:line="270"/>
      </w:pPr>
      <w:r>
        <w:rPr>
          <w:b/>
          <w:bCs/>
          <w:sz w:val="22"/>
          <w:szCs w:val="22"/>
        </w:rPr>
        <w:t xml:space="preserve">One-click backup </w:t>
      </w:r>
      <w:r>
        <w:rPr>
          <w:sz w:val="22"/>
          <w:szCs w:val="22"/>
        </w:rPr>
        <w:t xml:space="preserve">(export / import of all results) so nothing is ever lost.</w:t>
      </w:r>
    </w:p>
    <w:p>
      <w:pPr>
        <w:pStyle w:val="ListParagraph"/>
        <w:numPr>
          <w:ilvl w:val="0"/>
          <w:numId w:val="2"/>
        </w:numPr>
        <w:spacing w:after="70" w:line="270"/>
      </w:pPr>
      <w:r>
        <w:rPr>
          <w:b/>
          <w:bCs/>
          <w:sz w:val="22"/>
          <w:szCs w:val="22"/>
        </w:rPr>
        <w:t xml:space="preserve">Fully responsive </w:t>
      </w:r>
      <w:r>
        <w:rPr>
          <w:sz w:val="22"/>
          <w:szCs w:val="22"/>
        </w:rPr>
        <w:t xml:space="preserve">— works on the big screen, a laptop, or a phone.</w:t>
      </w:r>
    </w:p>
    <w:p>
      <w:pPr>
        <w:pStyle w:val="Heading1"/>
        <w:pBdr>
          <w:bottom w:val="single" w:color="C8102E" w:sz="6" w:space="4"/>
        </w:pBdr>
        <w:spacing w:after="140" w:before="320"/>
      </w:pPr>
      <w:r>
        <w:rPr>
          <w:b/>
          <w:bCs/>
          <w:color w:val="1A1A2E"/>
          <w:sz w:val="30"/>
          <w:szCs w:val="30"/>
        </w:rPr>
        <w:t xml:space="preserve">2.  Strengths — what this system does best</w:t>
      </w:r>
    </w:p>
    <w:p>
      <w:pPr>
        <w:spacing w:after="120" w:before="0" w:line="276"/>
      </w:pPr>
      <w:r>
        <w:rPr>
          <w:color w:val="1A1A2E"/>
          <w:sz w:val="22"/>
          <w:szCs w:val="22"/>
        </w:rPr>
        <w:t xml:space="preserve">This is a focused, well-engineered product. Its strengths come from doing one job extremely well rather than trying to be a generic platform.</w:t>
      </w:r>
    </w:p>
    <w:p>
      <w:pPr>
        <w:pStyle w:val="Heading2"/>
        <w:spacing w:after="100" w:before="220"/>
      </w:pPr>
      <w:r>
        <w:rPr>
          <w:b/>
          <w:bCs/>
          <w:color w:val="3A4A5C"/>
          <w:sz w:val="24"/>
          <w:szCs w:val="24"/>
        </w:rPr>
        <w:t xml:space="preserve">Built for the live moment</w:t>
      </w:r>
    </w:p>
    <w:p>
      <w:pPr>
        <w:spacing w:after="120" w:before="0" w:line="276"/>
      </w:pPr>
      <w:r>
        <w:rPr>
          <w:color w:val="1A1A2E"/>
          <w:sz w:val="22"/>
          <w:szCs w:val="22"/>
        </w:rPr>
        <w:t xml:space="preserve">The display is designed for a crowd and a big screen. A clear leader card, a podium, medals and a clean results table read instantly from across a room — exactly what holds an audience at a promotional event.</w:t>
      </w:r>
    </w:p>
    <w:p>
      <w:pPr>
        <w:pStyle w:val="Heading2"/>
        <w:spacing w:after="100" w:before="220"/>
      </w:pPr>
      <w:r>
        <w:rPr>
          <w:b/>
          <w:bCs/>
          <w:color w:val="3A4A5C"/>
          <w:sz w:val="24"/>
          <w:szCs w:val="24"/>
        </w:rPr>
        <w:t xml:space="preserve">Zero-touch operation</w:t>
      </w:r>
    </w:p>
    <w:p>
      <w:pPr>
        <w:spacing w:after="120" w:before="0" w:line="276"/>
      </w:pPr>
      <w:r>
        <w:rPr>
          <w:color w:val="1A1A2E"/>
          <w:sz w:val="22"/>
          <w:szCs w:val="22"/>
        </w:rPr>
        <w:t xml:space="preserve">Once results are entered, the public screen updates on its own every few seconds. Staff never alt-tab, refresh, or fiddle with the display during the event — a major reliability advantage when the room is busy.</w:t>
      </w:r>
    </w:p>
    <w:p>
      <w:pPr>
        <w:pStyle w:val="Heading2"/>
        <w:spacing w:after="100" w:before="220"/>
      </w:pPr>
      <w:r>
        <w:rPr>
          <w:b/>
          <w:bCs/>
          <w:color w:val="3A4A5C"/>
          <w:sz w:val="24"/>
          <w:szCs w:val="24"/>
        </w:rPr>
        <w:t xml:space="preserve">Resilient by design</w:t>
      </w:r>
    </w:p>
    <w:p>
      <w:pPr>
        <w:spacing w:after="120" w:before="0" w:line="276"/>
      </w:pPr>
      <w:r>
        <w:rPr>
          <w:color w:val="1A1A2E"/>
          <w:sz w:val="22"/>
          <w:szCs w:val="22"/>
        </w:rPr>
        <w:t xml:space="preserve">Results are saved both to the cloud and locally in the browser. If the venue Wi-Fi drops, the admin screen keeps working from its local copy, and a one-click export gives an instant backup. There is no single point of failure that can wipe the standings mid-event.</w:t>
      </w:r>
    </w:p>
    <w:p>
      <w:pPr>
        <w:pStyle w:val="Heading2"/>
        <w:spacing w:after="100" w:before="220"/>
      </w:pPr>
      <w:r>
        <w:rPr>
          <w:b/>
          <w:bCs/>
          <w:color w:val="3A4A5C"/>
          <w:sz w:val="24"/>
          <w:szCs w:val="24"/>
        </w:rPr>
        <w:t xml:space="preserve">Cheap and fast to deploy</w:t>
      </w:r>
    </w:p>
    <w:p>
      <w:pPr>
        <w:spacing w:after="120" w:before="0" w:line="276"/>
      </w:pPr>
      <w:r>
        <w:rPr>
          <w:color w:val="1A1A2E"/>
          <w:sz w:val="22"/>
          <w:szCs w:val="22"/>
        </w:rPr>
        <w:t xml:space="preserve">The architecture needs no traditional server, no database administration and no app-store approval. It is a single web build that goes live on a URL in minutes and runs on free-tier hosting — so the running cost during an event is effectively zero and there is nothing to maintain between events.</w:t>
      </w:r>
    </w:p>
    <w:p>
      <w:pPr>
        <w:pStyle w:val="Heading2"/>
        <w:spacing w:after="100" w:before="220"/>
      </w:pPr>
      <w:r>
        <w:rPr>
          <w:b/>
          <w:bCs/>
          <w:color w:val="3A4A5C"/>
          <w:sz w:val="24"/>
          <w:szCs w:val="24"/>
        </w:rPr>
        <w:t xml:space="preserve">Clean, modern, maintainable code</w:t>
      </w:r>
    </w:p>
    <w:p>
      <w:pPr>
        <w:spacing w:after="120" w:before="0" w:line="276"/>
      </w:pPr>
      <w:r>
        <w:rPr>
          <w:color w:val="1A1A2E"/>
          <w:sz w:val="22"/>
          <w:szCs w:val="22"/>
        </w:rPr>
        <w:t xml:space="preserve">The codebase is written in TypeScript with React, with a clear separation between the data layer, the time-calculation logic, and the two screens. Time parsing, ranking and points are isolated in their own module and are easy to adjust per event (different lap counts, different points schemes). This makes re-skinning the system for a new client quick and low-risk.</w:t>
      </w:r>
    </w:p>
    <w:p>
      <w:pPr>
        <w:pStyle w:val="Heading2"/>
        <w:spacing w:after="100" w:before="220"/>
      </w:pPr>
      <w:r>
        <w:rPr>
          <w:b/>
          <w:bCs/>
          <w:color w:val="3A4A5C"/>
          <w:sz w:val="24"/>
          <w:szCs w:val="24"/>
        </w:rPr>
        <w:t xml:space="preserve">Genuinely reusable</w:t>
      </w:r>
    </w:p>
    <w:p>
      <w:pPr>
        <w:spacing w:after="120" w:before="0" w:line="276"/>
      </w:pPr>
      <w:r>
        <w:rPr>
          <w:color w:val="1A1A2E"/>
          <w:sz w:val="22"/>
          <w:szCs w:val="22"/>
        </w:rPr>
        <w:t xml:space="preserve">Because branding, lap count and the points table are the only things that change between events, the same engine can be re-deployed for many different clients with only cosmetic work. This is the single most important commercial property of the product (see Section 5).</w:t>
      </w:r>
    </w:p>
    <w:p>
      <w:pPr>
        <w:pStyle w:val="Heading1"/>
        <w:pBdr>
          <w:bottom w:val="single" w:color="C8102E" w:sz="6" w:space="4"/>
        </w:pBdr>
        <w:spacing w:after="140" w:before="320"/>
      </w:pPr>
      <w:r>
        <w:rPr>
          <w:b/>
          <w:bCs/>
          <w:color w:val="1A1A2E"/>
          <w:sz w:val="30"/>
          <w:szCs w:val="30"/>
        </w:rPr>
        <w:t xml:space="preserve">3.  Technical notes &amp; limitations (for transparency)</w:t>
      </w:r>
    </w:p>
    <w:p>
      <w:pPr>
        <w:spacing w:after="120" w:before="0" w:line="276"/>
      </w:pPr>
      <w:r>
        <w:rPr>
          <w:color w:val="1A1A2E"/>
          <w:sz w:val="22"/>
          <w:szCs w:val="22"/>
        </w:rPr>
        <w:t xml:space="preserve">A fair proposal states the boundaries of the current build. None of these are problems for a single supervised event; they are listed so expectations are clear and so optional hardening can be quoted if a client wants it.</w:t>
      </w:r>
    </w:p>
    <w:p>
      <w:pPr>
        <w:pStyle w:val="ListParagraph"/>
        <w:numPr>
          <w:ilvl w:val="0"/>
          <w:numId w:val="2"/>
        </w:numPr>
        <w:spacing w:after="70" w:line="270"/>
      </w:pPr>
      <w:r>
        <w:rPr>
          <w:b/>
          <w:bCs/>
          <w:sz w:val="22"/>
          <w:szCs w:val="22"/>
        </w:rPr>
        <w:t xml:space="preserve">Admin access is by private URL, not password. </w:t>
      </w:r>
      <w:r>
        <w:rPr>
          <w:sz w:val="22"/>
          <w:szCs w:val="22"/>
        </w:rPr>
        <w:t xml:space="preserve">Anyone who knows the admin link can edit results. Fine for a staffed booth; a login can be added if required.</w:t>
      </w:r>
    </w:p>
    <w:p>
      <w:pPr>
        <w:pStyle w:val="ListParagraph"/>
        <w:numPr>
          <w:ilvl w:val="0"/>
          <w:numId w:val="2"/>
        </w:numPr>
        <w:spacing w:after="70" w:line="270"/>
      </w:pPr>
      <w:r>
        <w:rPr>
          <w:b/>
          <w:bCs/>
          <w:sz w:val="22"/>
          <w:szCs w:val="22"/>
        </w:rPr>
        <w:t xml:space="preserve">The display updates by polling every ~15 seconds, </w:t>
      </w:r>
      <w:r>
        <w:rPr>
          <w:sz w:val="22"/>
          <w:szCs w:val="22"/>
        </w:rPr>
        <w:t xml:space="preserve">not instantly. In practice this reads as “live” to an audience, but it is not sub-second real-time.</w:t>
      </w:r>
    </w:p>
    <w:p>
      <w:pPr>
        <w:pStyle w:val="ListParagraph"/>
        <w:numPr>
          <w:ilvl w:val="0"/>
          <w:numId w:val="2"/>
        </w:numPr>
        <w:spacing w:after="70" w:line="270"/>
      </w:pPr>
      <w:r>
        <w:rPr>
          <w:b/>
          <w:bCs/>
          <w:sz w:val="22"/>
          <w:szCs w:val="22"/>
        </w:rPr>
        <w:t xml:space="preserve">The hosted data store is a free-tier service. </w:t>
      </w:r>
      <w:r>
        <w:rPr>
          <w:sz w:val="22"/>
          <w:szCs w:val="22"/>
        </w:rPr>
        <w:t xml:space="preserve">Reliable for one event, but for a high-stakes or multi-day deployment a paid data tier (or a small dedicated backend) is recommended.</w:t>
      </w:r>
    </w:p>
    <w:p>
      <w:pPr>
        <w:pStyle w:val="ListParagraph"/>
        <w:numPr>
          <w:ilvl w:val="0"/>
          <w:numId w:val="2"/>
        </w:numPr>
        <w:spacing w:after="70" w:line="270"/>
      </w:pPr>
      <w:r>
        <w:rPr>
          <w:b/>
          <w:bCs/>
          <w:sz w:val="22"/>
          <w:szCs w:val="22"/>
        </w:rPr>
        <w:t xml:space="preserve">One running instance handles one event at a time. </w:t>
      </w:r>
      <w:r>
        <w:rPr>
          <w:sz w:val="22"/>
          <w:szCs w:val="22"/>
        </w:rPr>
        <w:t xml:space="preserve">Concurrent events need separate deployments (trivial to spin up, but not the same screen).</w:t>
      </w:r>
    </w:p>
    <w:p>
      <w:pPr>
        <w:pStyle w:val="ListParagraph"/>
        <w:numPr>
          <w:ilvl w:val="0"/>
          <w:numId w:val="2"/>
        </w:numPr>
        <w:spacing w:after="70" w:line="270"/>
      </w:pPr>
      <w:r>
        <w:rPr>
          <w:b/>
          <w:bCs/>
          <w:sz w:val="22"/>
          <w:szCs w:val="22"/>
        </w:rPr>
        <w:t xml:space="preserve">No automated test suite. </w:t>
      </w:r>
      <w:r>
        <w:rPr>
          <w:sz w:val="22"/>
          <w:szCs w:val="22"/>
        </w:rPr>
        <w:t xml:space="preserve">Acceptable for the size of the app; would be added before reselling at larger scale.</w:t>
      </w:r>
    </w:p>
    <w:p>
      <w:pPr>
        <w:pStyle w:val="Heading1"/>
        <w:pBdr>
          <w:bottom w:val="single" w:color="C8102E" w:sz="6" w:space="4"/>
        </w:pBdr>
        <w:spacing w:after="140" w:before="320"/>
      </w:pPr>
      <w:r>
        <w:rPr>
          <w:b/>
          <w:bCs/>
          <w:color w:val="1A1A2E"/>
          <w:sz w:val="30"/>
          <w:szCs w:val="30"/>
        </w:rPr>
        <w:t xml:space="preserve">4.  Time, effort &amp; cost to build</w:t>
      </w:r>
    </w:p>
    <w:p>
      <w:pPr>
        <w:spacing w:after="120" w:before="0" w:line="276"/>
      </w:pPr>
      <w:r>
        <w:rPr>
          <w:color w:val="1A1A2E"/>
          <w:sz w:val="22"/>
          <w:szCs w:val="22"/>
        </w:rPr>
        <w:t xml:space="preserve">You assembled this in roughly 6 focused hours using AI assistance. That is the modern-tooling reality, and it is a real competitive edge. It is not, however, the figure to quote a client — a client is buying a finished, working, branded product, and the fair-market value is set by what it would cost to commission the same result conventionally.</w:t>
      </w:r>
    </w:p>
    <w:p>
      <w:pPr>
        <w:pStyle w:val="Heading2"/>
        <w:spacing w:after="100" w:before="220"/>
      </w:pPr>
      <w:r>
        <w:rPr>
          <w:b/>
          <w:bCs/>
          <w:color w:val="3A4A5C"/>
          <w:sz w:val="24"/>
          <w:szCs w:val="24"/>
        </w:rPr>
        <w:t xml:space="preserve">Equivalent professional effort</w:t>
      </w:r>
    </w:p>
    <w:p>
      <w:pPr>
        <w:spacing w:after="100" w:before="0" w:line="276"/>
      </w:pPr>
      <w:r>
        <w:rPr>
          <w:color w:val="1A1A2E"/>
          <w:sz w:val="22"/>
          <w:szCs w:val="22"/>
        </w:rPr>
        <w:t xml:space="preserve">Built the traditional way by a competent freelance front-end developer, the same scope is roughly 3 to 5 working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500"/>
        <w:gridCol w:w="4100"/>
      </w:tblGrid>
      <w:tr>
        <w:trPr>
          <w:tblHeader/>
        </w:trPr>
        <w:tc>
          <w:tcPr>
            <w:tcW w:type="dxa" w:w="376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left"/>
            </w:pPr>
            <w:r>
              <w:rPr>
                <w:b/>
                <w:bCs/>
                <w:color w:val="FFFFFF"/>
                <w:sz w:val="20"/>
                <w:szCs w:val="20"/>
              </w:rPr>
              <w:t xml:space="preserve">Work package</w:t>
            </w:r>
          </w:p>
        </w:tc>
        <w:tc>
          <w:tcPr>
            <w:tcW w:type="dxa" w:w="150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center"/>
            </w:pPr>
            <w:r>
              <w:rPr>
                <w:b/>
                <w:bCs/>
                <w:color w:val="FFFFFF"/>
                <w:sz w:val="20"/>
                <w:szCs w:val="20"/>
              </w:rPr>
              <w:t xml:space="preserve">Pro time</w:t>
            </w:r>
          </w:p>
        </w:tc>
        <w:tc>
          <w:tcPr>
            <w:tcW w:type="dxa" w:w="410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left"/>
            </w:pPr>
            <w:r>
              <w:rPr>
                <w:b/>
                <w:bCs/>
                <w:color w:val="FFFFFF"/>
                <w:sz w:val="20"/>
                <w:szCs w:val="20"/>
              </w:rPr>
              <w:t xml:space="preserve">Notes</w:t>
            </w:r>
          </w:p>
        </w:tc>
      </w:tr>
      <w:tr>
        <w:tc>
          <w:tcPr>
            <w:tcW w:type="dxa" w:w="37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Discovery, concept &amp; event branding</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3 – 5 h</w:t>
            </w:r>
          </w:p>
        </w:tc>
        <w:tc>
          <w:tcPr>
            <w:tcW w:type="dxa" w:w="41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color w:val="1A1A2E"/>
                <w:sz w:val="20"/>
                <w:szCs w:val="20"/>
              </w:rPr>
              <w:t xml:space="preserve">Logo, colours, layout, points scheme, vehicle/sport graphics</w:t>
            </w:r>
          </w:p>
        </w:tc>
      </w:tr>
      <w:tr>
        <w:tc>
          <w:tcPr>
            <w:tcW w:type="dxa" w:w="376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left"/>
            </w:pPr>
            <w:r>
              <w:rPr>
                <w:b/>
                <w:bCs/>
                <w:color w:val="1A1A2E"/>
                <w:sz w:val="20"/>
                <w:szCs w:val="20"/>
              </w:rPr>
              <w:t xml:space="preserve">Data layer &amp; cloud sync</w:t>
            </w:r>
          </w:p>
        </w:tc>
        <w:tc>
          <w:tcPr>
            <w:tcW w:type="dxa" w:w="15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center"/>
            </w:pPr>
            <w:r>
              <w:rPr>
                <w:color w:val="1A1A2E"/>
                <w:sz w:val="20"/>
                <w:szCs w:val="20"/>
              </w:rPr>
              <w:t xml:space="preserve">2 – 3 h</w:t>
            </w:r>
          </w:p>
        </w:tc>
        <w:tc>
          <w:tcPr>
            <w:tcW w:type="dxa" w:w="41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left"/>
            </w:pPr>
            <w:r>
              <w:rPr>
                <w:color w:val="1A1A2E"/>
                <w:sz w:val="20"/>
                <w:szCs w:val="20"/>
              </w:rPr>
              <w:t xml:space="preserve">Hosted store, polling, local-storage fallback, save/load</w:t>
            </w:r>
          </w:p>
        </w:tc>
      </w:tr>
      <w:tr>
        <w:tc>
          <w:tcPr>
            <w:tcW w:type="dxa" w:w="37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Time logic (parse, best lap, totals, ranking, points)</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3 – 4 h</w:t>
            </w:r>
          </w:p>
        </w:tc>
        <w:tc>
          <w:tcPr>
            <w:tcW w:type="dxa" w:w="41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color w:val="1A1A2E"/>
                <w:sz w:val="20"/>
                <w:szCs w:val="20"/>
              </w:rPr>
              <w:t xml:space="preserve">The “brain” of the scoreboard</w:t>
            </w:r>
          </w:p>
        </w:tc>
      </w:tr>
      <w:tr>
        <w:tc>
          <w:tcPr>
            <w:tcW w:type="dxa" w:w="376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left"/>
            </w:pPr>
            <w:r>
              <w:rPr>
                <w:b/>
                <w:bCs/>
                <w:color w:val="1A1A2E"/>
                <w:sz w:val="20"/>
                <w:szCs w:val="20"/>
              </w:rPr>
              <w:t xml:space="preserve">Admin console (entry, inline edit, import/export)</w:t>
            </w:r>
          </w:p>
        </w:tc>
        <w:tc>
          <w:tcPr>
            <w:tcW w:type="dxa" w:w="15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center"/>
            </w:pPr>
            <w:r>
              <w:rPr>
                <w:color w:val="1A1A2E"/>
                <w:sz w:val="20"/>
                <w:szCs w:val="20"/>
              </w:rPr>
              <w:t xml:space="preserve">4 – 6 h</w:t>
            </w:r>
          </w:p>
        </w:tc>
        <w:tc>
          <w:tcPr>
            <w:tcW w:type="dxa" w:w="41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left"/>
            </w:pPr>
            <w:r>
              <w:rPr>
                <w:color w:val="1A1A2E"/>
                <w:sz w:val="20"/>
                <w:szCs w:val="20"/>
              </w:rPr>
              <w:t xml:space="preserve">Staff-facing data entry UI</w:t>
            </w:r>
          </w:p>
        </w:tc>
      </w:tr>
      <w:tr>
        <w:tc>
          <w:tcPr>
            <w:tcW w:type="dxa" w:w="37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Public display (podium, top-5, results table)</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5 – 7 h</w:t>
            </w:r>
          </w:p>
        </w:tc>
        <w:tc>
          <w:tcPr>
            <w:tcW w:type="dxa" w:w="41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color w:val="1A1A2E"/>
                <w:sz w:val="20"/>
                <w:szCs w:val="20"/>
              </w:rPr>
              <w:t xml:space="preserve">The audience-facing screen</w:t>
            </w:r>
          </w:p>
        </w:tc>
      </w:tr>
      <w:tr>
        <w:tc>
          <w:tcPr>
            <w:tcW w:type="dxa" w:w="376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left"/>
            </w:pPr>
            <w:r>
              <w:rPr>
                <w:b/>
                <w:bCs/>
                <w:color w:val="1A1A2E"/>
                <w:sz w:val="20"/>
                <w:szCs w:val="20"/>
              </w:rPr>
              <w:t xml:space="preserve">Responsive styling &amp; visual polish</w:t>
            </w:r>
          </w:p>
        </w:tc>
        <w:tc>
          <w:tcPr>
            <w:tcW w:type="dxa" w:w="15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center"/>
            </w:pPr>
            <w:r>
              <w:rPr>
                <w:color w:val="1A1A2E"/>
                <w:sz w:val="20"/>
                <w:szCs w:val="20"/>
              </w:rPr>
              <w:t xml:space="preserve">4 – 6 h</w:t>
            </w:r>
          </w:p>
        </w:tc>
        <w:tc>
          <w:tcPr>
            <w:tcW w:type="dxa" w:w="41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left"/>
            </w:pPr>
            <w:r>
              <w:rPr>
                <w:color w:val="1A1A2E"/>
                <w:sz w:val="20"/>
                <w:szCs w:val="20"/>
              </w:rPr>
              <w:t xml:space="preserve">~900 lines of bespoke CSS</w:t>
            </w:r>
          </w:p>
        </w:tc>
      </w:tr>
      <w:tr>
        <w:tc>
          <w:tcPr>
            <w:tcW w:type="dxa" w:w="37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Deployment, testing &amp; event setup</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2 – 3 h</w:t>
            </w:r>
          </w:p>
        </w:tc>
        <w:tc>
          <w:tcPr>
            <w:tcW w:type="dxa" w:w="41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color w:val="1A1A2E"/>
                <w:sz w:val="20"/>
                <w:szCs w:val="20"/>
              </w:rPr>
              <w:t xml:space="preserve">Hosting, routing, dry-run, hand-off</w:t>
            </w:r>
          </w:p>
        </w:tc>
      </w:tr>
      <w:tr>
        <w:tc>
          <w:tcPr>
            <w:tcW w:type="dxa" w:w="3760"/>
            <w:tcBorders>
              <w:top w:val="single" w:color="D5DCE3" w:sz="1"/>
              <w:left w:val="single" w:color="D5DCE3" w:sz="1"/>
              <w:bottom w:val="single" w:color="D5DCE3" w:sz="1"/>
              <w:right w:val="single" w:color="D5DCE3" w:sz="1"/>
            </w:tcBorders>
            <w:shd w:fill="1A1A2E" w:val="clear"/>
            <w:tcMar>
              <w:top w:type="dxa" w:w="80"/>
              <w:left w:type="dxa" w:w="130"/>
              <w:bottom w:type="dxa" w:w="80"/>
              <w:right w:type="dxa" w:w="130"/>
            </w:tcMar>
          </w:tcPr>
          <w:p>
            <w:pPr>
              <w:jc w:val="left"/>
            </w:pPr>
            <w:r>
              <w:rPr>
                <w:b/>
                <w:bCs/>
                <w:color w:val="FFFFFF"/>
                <w:sz w:val="20"/>
                <w:szCs w:val="20"/>
              </w:rPr>
              <w:t xml:space="preserve">Total professional effort</w:t>
            </w:r>
          </w:p>
        </w:tc>
        <w:tc>
          <w:tcPr>
            <w:tcW w:type="dxa" w:w="1500"/>
            <w:tcBorders>
              <w:top w:val="single" w:color="D5DCE3" w:sz="1"/>
              <w:left w:val="single" w:color="D5DCE3" w:sz="1"/>
              <w:bottom w:val="single" w:color="D5DCE3" w:sz="1"/>
              <w:right w:val="single" w:color="D5DCE3" w:sz="1"/>
            </w:tcBorders>
            <w:shd w:fill="1A1A2E" w:val="clear"/>
            <w:tcMar>
              <w:top w:type="dxa" w:w="80"/>
              <w:left w:type="dxa" w:w="130"/>
              <w:bottom w:type="dxa" w:w="80"/>
              <w:right w:type="dxa" w:w="130"/>
            </w:tcMar>
          </w:tcPr>
          <w:p>
            <w:pPr>
              <w:jc w:val="center"/>
            </w:pPr>
            <w:r>
              <w:rPr>
                <w:b/>
                <w:bCs/>
                <w:color w:val="FFFFFF"/>
                <w:sz w:val="20"/>
                <w:szCs w:val="20"/>
              </w:rPr>
              <w:t xml:space="preserve">23 – 34 h</w:t>
            </w:r>
          </w:p>
        </w:tc>
        <w:tc>
          <w:tcPr>
            <w:tcW w:type="dxa" w:w="4100"/>
            <w:tcBorders>
              <w:top w:val="single" w:color="D5DCE3" w:sz="1"/>
              <w:left w:val="single" w:color="D5DCE3" w:sz="1"/>
              <w:bottom w:val="single" w:color="D5DCE3" w:sz="1"/>
              <w:right w:val="single" w:color="D5DCE3" w:sz="1"/>
            </w:tcBorders>
            <w:shd w:fill="1A1A2E" w:val="clear"/>
            <w:tcMar>
              <w:top w:type="dxa" w:w="80"/>
              <w:left w:type="dxa" w:w="130"/>
              <w:bottom w:type="dxa" w:w="80"/>
              <w:right w:type="dxa" w:w="130"/>
            </w:tcMar>
          </w:tcPr>
          <w:p>
            <w:pPr>
              <w:jc w:val="left"/>
            </w:pPr>
            <w:r>
              <w:rPr>
                <w:color w:val="FFFFFF"/>
                <w:sz w:val="20"/>
                <w:szCs w:val="20"/>
              </w:rPr>
              <w:t xml:space="preserve">≈ 3–5 working days</w:t>
            </w:r>
          </w:p>
        </w:tc>
      </w:tr>
    </w:tbl>
    <w:p>
      <w:pPr>
        <w:spacing w:after="100"/>
      </w:pPr>
      <w:r>
        <w:t xml:space="preserve"/>
      </w:r>
    </w:p>
    <w:p>
      <w:pPr>
        <w:pStyle w:val="Heading2"/>
        <w:spacing w:after="100" w:before="220"/>
      </w:pPr>
      <w:r>
        <w:rPr>
          <w:b/>
          <w:bCs/>
          <w:color w:val="3A4A5C"/>
          <w:sz w:val="24"/>
          <w:szCs w:val="24"/>
        </w:rPr>
        <w:t xml:space="preserve">What that costs at Greek / EU market rates</w:t>
      </w:r>
    </w:p>
    <w:p>
      <w:pPr>
        <w:spacing w:after="100" w:before="0" w:line="276"/>
      </w:pPr>
      <w:r>
        <w:rPr>
          <w:color w:val="1A1A2E"/>
          <w:sz w:val="22"/>
          <w:szCs w:val="22"/>
        </w:rPr>
        <w:t xml:space="preserve">Greek freelance front-end rates in 2026 typically run €35–€60 / hour for mid-to-senior work (employed front-end devs average roughly €19/h gross; freelancers carry a premium for tax, tooling and risk). Applying that band to the effort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860"/>
        <w:gridCol w:w="2400"/>
      </w:tblGrid>
      <w:tr>
        <w:trPr>
          <w:tblHeader/>
        </w:trPr>
        <w:tc>
          <w:tcPr>
            <w:tcW w:type="dxa" w:w="360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left"/>
            </w:pPr>
            <w:r>
              <w:rPr>
                <w:b/>
                <w:bCs/>
                <w:color w:val="FFFFFF"/>
                <w:sz w:val="20"/>
                <w:szCs w:val="20"/>
              </w:rPr>
              <w:t xml:space="preserve">Scenario</w:t>
            </w:r>
          </w:p>
        </w:tc>
        <w:tc>
          <w:tcPr>
            <w:tcW w:type="dxa" w:w="150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center"/>
            </w:pPr>
            <w:r>
              <w:rPr>
                <w:b/>
                <w:bCs/>
                <w:color w:val="FFFFFF"/>
                <w:sz w:val="20"/>
                <w:szCs w:val="20"/>
              </w:rPr>
              <w:t xml:space="preserve">Effort</w:t>
            </w:r>
          </w:p>
        </w:tc>
        <w:tc>
          <w:tcPr>
            <w:tcW w:type="dxa" w:w="186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center"/>
            </w:pPr>
            <w:r>
              <w:rPr>
                <w:b/>
                <w:bCs/>
                <w:color w:val="FFFFFF"/>
                <w:sz w:val="20"/>
                <w:szCs w:val="20"/>
              </w:rPr>
              <w:t xml:space="preserve">Rate</w:t>
            </w:r>
          </w:p>
        </w:tc>
        <w:tc>
          <w:tcPr>
            <w:tcW w:type="dxa" w:w="240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center"/>
            </w:pPr>
            <w:r>
              <w:rPr>
                <w:b/>
                <w:bCs/>
                <w:color w:val="FFFFFF"/>
                <w:sz w:val="20"/>
                <w:szCs w:val="20"/>
              </w:rPr>
              <w:t xml:space="preserve">Build value</w:t>
            </w:r>
          </w:p>
        </w:tc>
      </w:tr>
      <w:tr>
        <w:tc>
          <w:tcPr>
            <w:tcW w:type="dxa" w:w="36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Conservative (junior / low rate)</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28 h</w:t>
            </w:r>
          </w:p>
        </w:tc>
        <w:tc>
          <w:tcPr>
            <w:tcW w:type="dxa" w:w="18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€35 / h</w:t>
            </w:r>
          </w:p>
        </w:tc>
        <w:tc>
          <w:tcPr>
            <w:tcW w:type="dxa" w:w="24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b/>
                <w:bCs/>
                <w:color w:val="C8102E"/>
                <w:sz w:val="20"/>
                <w:szCs w:val="20"/>
              </w:rPr>
              <w:t xml:space="preserve">≈ €980</w:t>
            </w:r>
          </w:p>
        </w:tc>
      </w:tr>
      <w:tr>
        <w:tc>
          <w:tcPr>
            <w:tcW w:type="dxa" w:w="36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left"/>
            </w:pPr>
            <w:r>
              <w:rPr>
                <w:b/>
                <w:bCs/>
                <w:color w:val="1A1A2E"/>
                <w:sz w:val="20"/>
                <w:szCs w:val="20"/>
              </w:rPr>
              <w:t xml:space="preserve">Mid-market (typical freelancer)</w:t>
            </w:r>
          </w:p>
        </w:tc>
        <w:tc>
          <w:tcPr>
            <w:tcW w:type="dxa" w:w="15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center"/>
            </w:pPr>
            <w:r>
              <w:rPr>
                <w:color w:val="1A1A2E"/>
                <w:sz w:val="20"/>
                <w:szCs w:val="20"/>
              </w:rPr>
              <w:t xml:space="preserve">30 h</w:t>
            </w:r>
          </w:p>
        </w:tc>
        <w:tc>
          <w:tcPr>
            <w:tcW w:type="dxa" w:w="186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center"/>
            </w:pPr>
            <w:r>
              <w:rPr>
                <w:color w:val="1A1A2E"/>
                <w:sz w:val="20"/>
                <w:szCs w:val="20"/>
              </w:rPr>
              <w:t xml:space="preserve">€45 / h</w:t>
            </w:r>
          </w:p>
        </w:tc>
        <w:tc>
          <w:tcPr>
            <w:tcW w:type="dxa" w:w="2400"/>
            <w:tcBorders>
              <w:top w:val="single" w:color="D5DCE3" w:sz="1"/>
              <w:left w:val="single" w:color="D5DCE3" w:sz="1"/>
              <w:bottom w:val="single" w:color="D5DCE3" w:sz="1"/>
              <w:right w:val="single" w:color="D5DCE3" w:sz="1"/>
            </w:tcBorders>
            <w:shd w:fill="FFFFFF" w:val="clear"/>
            <w:tcMar>
              <w:top w:type="dxa" w:w="80"/>
              <w:left w:type="dxa" w:w="130"/>
              <w:bottom w:type="dxa" w:w="80"/>
              <w:right w:type="dxa" w:w="130"/>
            </w:tcMar>
          </w:tcPr>
          <w:p>
            <w:pPr>
              <w:jc w:val="center"/>
            </w:pPr>
            <w:r>
              <w:rPr>
                <w:b/>
                <w:bCs/>
                <w:color w:val="C8102E"/>
                <w:sz w:val="20"/>
                <w:szCs w:val="20"/>
              </w:rPr>
              <w:t xml:space="preserve">≈ €1,350</w:t>
            </w:r>
          </w:p>
        </w:tc>
      </w:tr>
      <w:tr>
        <w:tc>
          <w:tcPr>
            <w:tcW w:type="dxa" w:w="36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Senior / agency rate</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30 h</w:t>
            </w:r>
          </w:p>
        </w:tc>
        <w:tc>
          <w:tcPr>
            <w:tcW w:type="dxa" w:w="18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color w:val="1A1A2E"/>
                <w:sz w:val="20"/>
                <w:szCs w:val="20"/>
              </w:rPr>
              <w:t xml:space="preserve">€60 / h</w:t>
            </w:r>
          </w:p>
        </w:tc>
        <w:tc>
          <w:tcPr>
            <w:tcW w:type="dxa" w:w="24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b/>
                <w:bCs/>
                <w:color w:val="C8102E"/>
                <w:sz w:val="20"/>
                <w:szCs w:val="20"/>
              </w:rPr>
              <w:t xml:space="preserve">≈ €1,800</w:t>
            </w:r>
          </w:p>
        </w:tc>
      </w:tr>
    </w:tbl>
    <w:p>
      <w:pPr>
        <w:spacing w:after="80"/>
      </w:pPr>
      <w:r>
        <w:t xml:space="preserve"/>
      </w:r>
    </w:p>
    <w:p>
      <w:pPr>
        <w:pBdr>
          <w:left w:val="single" w:color="3A4A5C" w:sz="18" w:space="8"/>
        </w:pBdr>
        <w:shd w:fill="EEF2F6" w:val="clear"/>
        <w:spacing w:after="60" w:before="60" w:line="280"/>
        <w:ind w:left="160" w:right="160"/>
      </w:pPr>
      <w:r>
        <w:rPr>
          <w:b/>
          <w:bCs/>
          <w:color w:val="1A1A2E"/>
          <w:sz w:val="22"/>
          <w:szCs w:val="22"/>
        </w:rPr>
        <w:t xml:space="preserve">Build value reference: </w:t>
      </w:r>
      <w:r>
        <w:rPr>
          <w:b/>
          <w:bCs/>
          <w:color w:val="C8102E"/>
          <w:sz w:val="22"/>
          <w:szCs w:val="22"/>
        </w:rPr>
        <w:t xml:space="preserve">€1,000 – €1,800. </w:t>
      </w:r>
      <w:r>
        <w:rPr>
          <w:color w:val="1A1A2E"/>
          <w:sz w:val="22"/>
          <w:szCs w:val="22"/>
        </w:rPr>
        <w:t xml:space="preserve">Running cost during an event: effectively €0 (free-tier hosting + free-tier data store). This gap between low running cost and real delivered value is exactly where your margin lives.</w:t>
      </w:r>
    </w:p>
    <w:p>
      <w:r>
        <w:br w:type="page"/>
      </w:r>
    </w:p>
    <w:p>
      <w:pPr>
        <w:pStyle w:val="Heading1"/>
        <w:pBdr>
          <w:bottom w:val="single" w:color="C8102E" w:sz="6" w:space="4"/>
        </w:pBdr>
        <w:spacing w:after="140" w:before="320"/>
      </w:pPr>
      <w:r>
        <w:rPr>
          <w:b/>
          <w:bCs/>
          <w:color w:val="1A1A2E"/>
          <w:sz w:val="30"/>
          <w:szCs w:val="30"/>
        </w:rPr>
        <w:t xml:space="preserve">5.  Selling it for a single event</w:t>
      </w:r>
    </w:p>
    <w:p>
      <w:pPr>
        <w:spacing w:after="120" w:before="0" w:line="276"/>
      </w:pPr>
      <w:r>
        <w:rPr>
          <w:color w:val="1A1A2E"/>
          <w:sz w:val="22"/>
          <w:szCs w:val="22"/>
        </w:rPr>
        <w:t xml:space="preserve">Important framing: you are not selling the source code, and you are not selling “six hours of work.” You are selling a finished, working, branded experience delivered for a specific event — set up, hosted and supported on the day. Price on the value to the event, not on the hours.</w:t>
      </w:r>
    </w:p>
    <w:p>
      <w:pPr>
        <w:spacing w:after="120" w:before="40" w:line="276"/>
      </w:pPr>
      <w:r>
        <w:rPr>
          <w:color w:val="1A1A2E"/>
          <w:sz w:val="22"/>
          <w:szCs w:val="22"/>
        </w:rPr>
        <w:t xml:space="preserve">Because the same engine already powers three variants, your marginal cost to deliver another event is mostly branding and setup. That means strong margins and the freedom to license per event rather than sell the asset once.</w:t>
      </w:r>
    </w:p>
    <w:p>
      <w:pPr>
        <w:pStyle w:val="Heading2"/>
        <w:spacing w:after="100" w:before="220"/>
      </w:pPr>
      <w:r>
        <w:rPr>
          <w:b/>
          <w:bCs/>
          <w:color w:val="3A4A5C"/>
          <w:sz w:val="24"/>
          <w:szCs w:val="24"/>
        </w:rPr>
        <w:t xml:space="preserve">Recommended packages (per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left"/>
            </w:pPr>
            <w:r>
              <w:rPr>
                <w:b/>
                <w:bCs/>
                <w:color w:val="FFFFFF"/>
                <w:sz w:val="20"/>
                <w:szCs w:val="20"/>
              </w:rPr>
              <w:t xml:space="preserve">Package</w:t>
            </w:r>
          </w:p>
        </w:tc>
        <w:tc>
          <w:tcPr>
            <w:tcW w:type="dxa" w:w="150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center"/>
            </w:pPr>
            <w:r>
              <w:rPr>
                <w:b/>
                <w:bCs/>
                <w:color w:val="FFFFFF"/>
                <w:sz w:val="20"/>
                <w:szCs w:val="20"/>
              </w:rPr>
              <w:t xml:space="preserve">Price</w:t>
            </w:r>
          </w:p>
        </w:tc>
        <w:tc>
          <w:tcPr>
            <w:tcW w:type="dxa" w:w="5260"/>
            <w:tcBorders>
              <w:top w:val="single" w:color="D5DCE3" w:sz="1"/>
              <w:left w:val="single" w:color="D5DCE3" w:sz="1"/>
              <w:bottom w:val="single" w:color="D5DCE3" w:sz="1"/>
              <w:right w:val="single" w:color="D5DCE3" w:sz="1"/>
            </w:tcBorders>
            <w:shd w:fill="1A1A2E" w:val="clear"/>
            <w:tcMar>
              <w:top w:type="dxa" w:w="90"/>
              <w:left w:type="dxa" w:w="130"/>
              <w:bottom w:type="dxa" w:w="90"/>
              <w:right w:type="dxa" w:w="130"/>
            </w:tcMar>
          </w:tcPr>
          <w:p>
            <w:pPr>
              <w:jc w:val="left"/>
            </w:pPr>
            <w:r>
              <w:rPr>
                <w:b/>
                <w:bCs/>
                <w:color w:val="FFFFFF"/>
                <w:sz w:val="20"/>
                <w:szCs w:val="20"/>
              </w:rPr>
              <w:t xml:space="preserve">What’s included</w:t>
            </w:r>
          </w:p>
        </w:tc>
      </w:tr>
      <w:tr>
        <w:tc>
          <w:tcPr>
            <w:tcW w:type="dxa" w:w="26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Essential</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b/>
                <w:bCs/>
                <w:color w:val="1A1A2E"/>
                <w:sz w:val="20"/>
                <w:szCs w:val="20"/>
              </w:rPr>
              <w:t xml:space="preserve">€650</w:t>
            </w:r>
          </w:p>
        </w:tc>
        <w:tc>
          <w:tcPr>
            <w:tcW w:type="dxa" w:w="52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color w:val="1A1A2E"/>
                <w:sz w:val="20"/>
                <w:szCs w:val="20"/>
              </w:rPr>
              <w:t xml:space="preserve">Re-skinned to the client’s branding · deployed to a live URL · admin + display screens · email support · self-serve setup guide.</w:t>
            </w:r>
          </w:p>
        </w:tc>
      </w:tr>
      <w:tr>
        <w:tc>
          <w:tcPr>
            <w:tcW w:type="dxa" w:w="2600"/>
            <w:tcBorders>
              <w:top w:val="single" w:color="D5DCE3" w:sz="1"/>
              <w:left w:val="single" w:color="D5DCE3" w:sz="1"/>
              <w:bottom w:val="single" w:color="D5DCE3" w:sz="1"/>
              <w:right w:val="single" w:color="D5DCE3" w:sz="1"/>
            </w:tcBorders>
            <w:shd w:fill="FCE7EA" w:val="clear"/>
            <w:tcMar>
              <w:top w:type="dxa" w:w="80"/>
              <w:left w:type="dxa" w:w="130"/>
              <w:bottom w:type="dxa" w:w="80"/>
              <w:right w:type="dxa" w:w="130"/>
            </w:tcMar>
          </w:tcPr>
          <w:p>
            <w:pPr>
              <w:jc w:val="left"/>
            </w:pPr>
            <w:r>
              <w:rPr>
                <w:b/>
                <w:bCs/>
                <w:color w:val="C8102E"/>
                <w:sz w:val="20"/>
                <w:szCs w:val="20"/>
              </w:rPr>
              <w:t xml:space="preserve">Standard  (recommended)</w:t>
            </w:r>
          </w:p>
        </w:tc>
        <w:tc>
          <w:tcPr>
            <w:tcW w:type="dxa" w:w="1500"/>
            <w:tcBorders>
              <w:top w:val="single" w:color="D5DCE3" w:sz="1"/>
              <w:left w:val="single" w:color="D5DCE3" w:sz="1"/>
              <w:bottom w:val="single" w:color="D5DCE3" w:sz="1"/>
              <w:right w:val="single" w:color="D5DCE3" w:sz="1"/>
            </w:tcBorders>
            <w:shd w:fill="FCE7EA" w:val="clear"/>
            <w:tcMar>
              <w:top w:type="dxa" w:w="80"/>
              <w:left w:type="dxa" w:w="130"/>
              <w:bottom w:type="dxa" w:w="80"/>
              <w:right w:type="dxa" w:w="130"/>
            </w:tcMar>
          </w:tcPr>
          <w:p>
            <w:pPr>
              <w:jc w:val="center"/>
            </w:pPr>
            <w:r>
              <w:rPr>
                <w:b/>
                <w:bCs/>
                <w:color w:val="1A1A2E"/>
                <w:sz w:val="20"/>
                <w:szCs w:val="20"/>
              </w:rPr>
              <w:t xml:space="preserve">€1,200</w:t>
            </w:r>
          </w:p>
        </w:tc>
        <w:tc>
          <w:tcPr>
            <w:tcW w:type="dxa" w:w="5260"/>
            <w:tcBorders>
              <w:top w:val="single" w:color="D5DCE3" w:sz="1"/>
              <w:left w:val="single" w:color="D5DCE3" w:sz="1"/>
              <w:bottom w:val="single" w:color="D5DCE3" w:sz="1"/>
              <w:right w:val="single" w:color="D5DCE3" w:sz="1"/>
            </w:tcBorders>
            <w:shd w:fill="FCE7EA" w:val="clear"/>
            <w:tcMar>
              <w:top w:type="dxa" w:w="80"/>
              <w:left w:type="dxa" w:w="130"/>
              <w:bottom w:type="dxa" w:w="80"/>
              <w:right w:type="dxa" w:w="130"/>
            </w:tcMar>
          </w:tcPr>
          <w:p>
            <w:pPr>
              <w:jc w:val="left"/>
            </w:pPr>
            <w:r>
              <w:rPr>
                <w:color w:val="1A1A2E"/>
                <w:sz w:val="20"/>
                <w:szCs w:val="20"/>
              </w:rPr>
              <w:t xml:space="preserve">Everything in Essential · custom points scheme &amp; lap count · pre-event dry-run · priority support window on event day · result backup &amp; hand-off.</w:t>
            </w:r>
          </w:p>
        </w:tc>
      </w:tr>
      <w:tr>
        <w:tc>
          <w:tcPr>
            <w:tcW w:type="dxa" w:w="26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b/>
                <w:bCs/>
                <w:color w:val="1A1A2E"/>
                <w:sz w:val="20"/>
                <w:szCs w:val="20"/>
              </w:rPr>
              <w:t xml:space="preserve">Premium / On-site</w:t>
            </w:r>
          </w:p>
        </w:tc>
        <w:tc>
          <w:tcPr>
            <w:tcW w:type="dxa" w:w="150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center"/>
            </w:pPr>
            <w:r>
              <w:rPr>
                <w:b/>
                <w:bCs/>
                <w:color w:val="1A1A2E"/>
                <w:sz w:val="20"/>
                <w:szCs w:val="20"/>
              </w:rPr>
              <w:t xml:space="preserve">€2,200+</w:t>
            </w:r>
          </w:p>
        </w:tc>
        <w:tc>
          <w:tcPr>
            <w:tcW w:type="dxa" w:w="5260"/>
            <w:tcBorders>
              <w:top w:val="single" w:color="D5DCE3" w:sz="1"/>
              <w:left w:val="single" w:color="D5DCE3" w:sz="1"/>
              <w:bottom w:val="single" w:color="D5DCE3" w:sz="1"/>
              <w:right w:val="single" w:color="D5DCE3" w:sz="1"/>
            </w:tcBorders>
            <w:shd w:fill="EEF2F6" w:val="clear"/>
            <w:tcMar>
              <w:top w:type="dxa" w:w="80"/>
              <w:left w:type="dxa" w:w="130"/>
              <w:bottom w:type="dxa" w:w="80"/>
              <w:right w:type="dxa" w:w="130"/>
            </w:tcMar>
          </w:tcPr>
          <w:p>
            <w:pPr>
              <w:jc w:val="left"/>
            </w:pPr>
            <w:r>
              <w:rPr>
                <w:color w:val="1A1A2E"/>
                <w:sz w:val="20"/>
                <w:szCs w:val="20"/>
              </w:rPr>
              <w:t xml:space="preserve">Everything in Standard · on-site setup &amp; live operation · dedicated screen + admin device config · password-protected admin · post-event results pack.</w:t>
            </w:r>
          </w:p>
        </w:tc>
      </w:tr>
    </w:tbl>
    <w:p>
      <w:pPr>
        <w:spacing w:after="60"/>
      </w:pPr>
      <w:r>
        <w:t xml:space="preserve"/>
      </w:r>
    </w:p>
    <w:p>
      <w:pPr>
        <w:spacing w:after="140" w:before="0" w:line="276"/>
      </w:pPr>
      <w:r>
        <w:rPr>
          <w:i/>
          <w:iCs/>
          <w:color w:val="3A4A5C"/>
          <w:sz w:val="18"/>
          <w:szCs w:val="18"/>
        </w:rPr>
        <w:t xml:space="preserve">Prices exclude VAT. On-site work outside Attica adds travel &amp; accommodation at cost.</w:t>
      </w:r>
    </w:p>
    <w:p>
      <w:pPr>
        <w:pStyle w:val="Heading2"/>
        <w:spacing w:after="100" w:before="220"/>
      </w:pPr>
      <w:r>
        <w:rPr>
          <w:b/>
          <w:bCs/>
          <w:color w:val="3A4A5C"/>
          <w:sz w:val="24"/>
          <w:szCs w:val="24"/>
        </w:rPr>
        <w:t xml:space="preserve">Optional add-ons</w:t>
      </w:r>
    </w:p>
    <w:p>
      <w:pPr>
        <w:pStyle w:val="ListParagraph"/>
        <w:numPr>
          <w:ilvl w:val="0"/>
          <w:numId w:val="2"/>
        </w:numPr>
        <w:spacing w:after="70" w:line="270"/>
      </w:pPr>
      <w:r>
        <w:rPr>
          <w:b/>
          <w:bCs/>
          <w:sz w:val="22"/>
          <w:szCs w:val="22"/>
        </w:rPr>
        <w:t xml:space="preserve">Password-protected / multi-user admin</w:t>
      </w:r>
      <w:r>
        <w:rPr>
          <w:sz w:val="22"/>
          <w:szCs w:val="22"/>
        </w:rPr>
        <w:t xml:space="preserve"> — €150–€300</w:t>
      </w:r>
    </w:p>
    <w:p>
      <w:pPr>
        <w:pStyle w:val="ListParagraph"/>
        <w:numPr>
          <w:ilvl w:val="0"/>
          <w:numId w:val="2"/>
        </w:numPr>
        <w:spacing w:after="70" w:line="270"/>
      </w:pPr>
      <w:r>
        <w:rPr>
          <w:b/>
          <w:bCs/>
          <w:sz w:val="22"/>
          <w:szCs w:val="22"/>
        </w:rPr>
        <w:t xml:space="preserve">Paid data tier for multi-day or high-traffic events</w:t>
      </w:r>
      <w:r>
        <w:rPr>
          <w:sz w:val="22"/>
          <w:szCs w:val="22"/>
        </w:rPr>
        <w:t xml:space="preserve"> — €60–€120</w:t>
      </w:r>
    </w:p>
    <w:p>
      <w:pPr>
        <w:pStyle w:val="ListParagraph"/>
        <w:numPr>
          <w:ilvl w:val="0"/>
          <w:numId w:val="2"/>
        </w:numPr>
        <w:spacing w:after="70" w:line="270"/>
      </w:pPr>
      <w:r>
        <w:rPr>
          <w:b/>
          <w:bCs/>
          <w:sz w:val="22"/>
          <w:szCs w:val="22"/>
        </w:rPr>
        <w:t xml:space="preserve">Extra branding / animations / sponsor logos</w:t>
      </w:r>
      <w:r>
        <w:rPr>
          <w:sz w:val="22"/>
          <w:szCs w:val="22"/>
        </w:rPr>
        <w:t xml:space="preserve"> — €150–€400</w:t>
      </w:r>
    </w:p>
    <w:p>
      <w:pPr>
        <w:pStyle w:val="ListParagraph"/>
        <w:numPr>
          <w:ilvl w:val="0"/>
          <w:numId w:val="2"/>
        </w:numPr>
        <w:spacing w:after="70" w:line="270"/>
      </w:pPr>
      <w:r>
        <w:rPr>
          <w:b/>
          <w:bCs/>
          <w:sz w:val="22"/>
          <w:szCs w:val="22"/>
        </w:rPr>
        <w:t xml:space="preserve">Live on-site operator (per day)</w:t>
      </w:r>
      <w:r>
        <w:rPr>
          <w:sz w:val="22"/>
          <w:szCs w:val="22"/>
        </w:rPr>
        <w:t xml:space="preserve"> — €250–€400</w:t>
      </w:r>
    </w:p>
    <w:p>
      <w:pPr>
        <w:pStyle w:val="Heading2"/>
        <w:spacing w:after="100" w:before="220"/>
      </w:pPr>
      <w:r>
        <w:rPr>
          <w:b/>
          <w:bCs/>
          <w:color w:val="3A4A5C"/>
          <w:sz w:val="24"/>
          <w:szCs w:val="24"/>
        </w:rPr>
        <w:t xml:space="preserve">On the three clones — your real asset</w:t>
      </w:r>
    </w:p>
    <w:p>
      <w:pPr>
        <w:spacing w:after="120" w:before="0" w:line="276"/>
      </w:pPr>
      <w:r>
        <w:rPr>
          <w:color w:val="1A1A2E"/>
          <w:sz w:val="22"/>
          <w:szCs w:val="22"/>
        </w:rPr>
        <w:t xml:space="preserve">The fact that the same system already exists in three branded variants is the most valuable thing here. Treat the engine as a product, not a one-off:</w:t>
      </w:r>
    </w:p>
    <w:p>
      <w:pPr>
        <w:pStyle w:val="ListParagraph"/>
        <w:numPr>
          <w:ilvl w:val="0"/>
          <w:numId w:val="2"/>
        </w:numPr>
        <w:spacing w:after="70" w:line="270"/>
      </w:pPr>
      <w:r>
        <w:rPr>
          <w:b/>
          <w:bCs/>
          <w:sz w:val="22"/>
          <w:szCs w:val="22"/>
        </w:rPr>
        <w:t xml:space="preserve">Licence per event, not per sale. </w:t>
      </w:r>
      <w:r>
        <w:rPr>
          <w:sz w:val="22"/>
          <w:szCs w:val="22"/>
        </w:rPr>
        <w:t xml:space="preserve">Each new client pays the package price above; your delivery cost is mostly re-branding. Three live variants means you can already pitch three market niches.</w:t>
      </w:r>
    </w:p>
    <w:p>
      <w:pPr>
        <w:pStyle w:val="ListParagraph"/>
        <w:numPr>
          <w:ilvl w:val="0"/>
          <w:numId w:val="2"/>
        </w:numPr>
        <w:spacing w:after="70" w:line="270"/>
      </w:pPr>
      <w:r>
        <w:rPr>
          <w:b/>
          <w:bCs/>
          <w:sz w:val="22"/>
          <w:szCs w:val="22"/>
        </w:rPr>
        <w:t xml:space="preserve">Offer a season / multi-event rate. </w:t>
      </w:r>
      <w:r>
        <w:rPr>
          <w:sz w:val="22"/>
          <w:szCs w:val="22"/>
        </w:rPr>
        <w:t xml:space="preserve">e.g. €1,200 first event, then €600 per repeat event for the same client — recurring revenue at near-zero cost.</w:t>
      </w:r>
    </w:p>
    <w:p>
      <w:pPr>
        <w:pStyle w:val="ListParagraph"/>
        <w:numPr>
          <w:ilvl w:val="0"/>
          <w:numId w:val="2"/>
        </w:numPr>
        <w:spacing w:after="70" w:line="270"/>
      </w:pPr>
      <w:r>
        <w:rPr>
          <w:b/>
          <w:bCs/>
          <w:sz w:val="22"/>
          <w:szCs w:val="22"/>
        </w:rPr>
        <w:t xml:space="preserve">Keep the IP. </w:t>
      </w:r>
      <w:r>
        <w:rPr>
          <w:sz w:val="22"/>
          <w:szCs w:val="22"/>
        </w:rPr>
        <w:t xml:space="preserve">Sell the deployment and the service, not the code. If a client insists on buying the source outright, that is a different (much higher) number — see below.</w:t>
      </w:r>
    </w:p>
    <w:p>
      <w:pPr>
        <w:pStyle w:val="Heading2"/>
        <w:spacing w:after="100" w:before="220"/>
      </w:pPr>
      <w:r>
        <w:rPr>
          <w:b/>
          <w:bCs/>
          <w:color w:val="3A4A5C"/>
          <w:sz w:val="24"/>
          <w:szCs w:val="24"/>
        </w:rPr>
        <w:t xml:space="preserve">If a client wants to buy it outright</w:t>
      </w:r>
    </w:p>
    <w:p>
      <w:pPr>
        <w:spacing w:after="120" w:before="0" w:line="276"/>
      </w:pPr>
      <w:r>
        <w:rPr>
          <w:color w:val="1A1A2E"/>
          <w:sz w:val="22"/>
          <w:szCs w:val="22"/>
        </w:rPr>
        <w:t xml:space="preserve">A full buy-out (source code, branding rights, hand-over and a short support tail) removes your ability to resell it. Price it to reflect that lost recurring revenue, not the build cost: a one-off buy-out should start around €3,500–€6,000, and more if exclusivity within their sector is part of the deal.</w:t>
      </w:r>
    </w:p>
    <w:p>
      <w:pPr>
        <w:spacing w:after="60"/>
      </w:pPr>
      <w:r>
        <w:t xml:space="preserve"/>
      </w:r>
    </w:p>
    <w:p>
      <w:pPr>
        <w:pBdr>
          <w:left w:val="single" w:color="1E7D4F" w:sz="18" w:space="8"/>
        </w:pBdr>
        <w:shd w:fill="F0F7F2" w:val="clear"/>
        <w:spacing w:after="60" w:before="60" w:line="285"/>
        <w:ind w:left="160" w:right="160"/>
      </w:pPr>
      <w:r>
        <w:rPr>
          <w:b/>
          <w:bCs/>
          <w:color w:val="1A1A2E"/>
          <w:sz w:val="22"/>
          <w:szCs w:val="22"/>
        </w:rPr>
        <w:t xml:space="preserve">Bottom line — single event: </w:t>
      </w:r>
      <w:r>
        <w:rPr>
          <w:color w:val="1A1A2E"/>
          <w:sz w:val="22"/>
          <w:szCs w:val="22"/>
        </w:rPr>
        <w:t xml:space="preserve">quote the Standard package at €1,200 (range €650–€2,200 depending on branding and on-site support). </w:t>
      </w:r>
      <w:r>
        <w:rPr>
          <w:b/>
          <w:bCs/>
          <w:color w:val="1E7D4F"/>
          <w:sz w:val="22"/>
          <w:szCs w:val="22"/>
        </w:rPr>
        <w:t xml:space="preserve">Do not sell below ~€600 — it undervalues a finished, reliable, audience-ready product and anchors every future deal too low.</w:t>
      </w:r>
    </w:p>
    <w:p>
      <w:pPr>
        <w:pStyle w:val="Heading1"/>
        <w:pBdr>
          <w:bottom w:val="single" w:color="C8102E" w:sz="6" w:space="4"/>
        </w:pBdr>
        <w:spacing w:after="140" w:before="320"/>
      </w:pPr>
      <w:r>
        <w:rPr>
          <w:b/>
          <w:bCs/>
          <w:color w:val="1A1A2E"/>
          <w:sz w:val="30"/>
          <w:szCs w:val="30"/>
        </w:rPr>
        <w:t xml:space="preserve">6.  Scope of a single-event engagement</w:t>
      </w:r>
    </w:p>
    <w:p>
      <w:pPr>
        <w:spacing w:after="120" w:before="0" w:line="276"/>
      </w:pPr>
      <w:r>
        <w:rPr>
          <w:color w:val="1A1A2E"/>
          <w:sz w:val="22"/>
          <w:szCs w:val="22"/>
        </w:rPr>
        <w:t xml:space="preserve">A standard delivery includes:</w:t>
      </w:r>
    </w:p>
    <w:p>
      <w:pPr>
        <w:pStyle w:val="ListParagraph"/>
        <w:numPr>
          <w:ilvl w:val="0"/>
          <w:numId w:val="2"/>
        </w:numPr>
        <w:spacing w:after="70" w:line="270"/>
      </w:pPr>
      <w:r>
        <w:rPr>
          <w:color w:val="1A1A2E"/>
          <w:sz w:val="22"/>
          <w:szCs w:val="22"/>
        </w:rPr>
        <w:t xml:space="preserve">Branding of both screens to the event (logo, colours, event name, graphics).</w:t>
      </w:r>
    </w:p>
    <w:p>
      <w:pPr>
        <w:pStyle w:val="ListParagraph"/>
        <w:numPr>
          <w:ilvl w:val="0"/>
          <w:numId w:val="2"/>
        </w:numPr>
        <w:spacing w:after="70" w:line="270"/>
      </w:pPr>
      <w:r>
        <w:rPr>
          <w:color w:val="1A1A2E"/>
          <w:sz w:val="22"/>
          <w:szCs w:val="22"/>
        </w:rPr>
        <w:t xml:space="preserve">Configuration of lap count and points scheme to the event format.</w:t>
      </w:r>
    </w:p>
    <w:p>
      <w:pPr>
        <w:pStyle w:val="ListParagraph"/>
        <w:numPr>
          <w:ilvl w:val="0"/>
          <w:numId w:val="2"/>
        </w:numPr>
        <w:spacing w:after="70" w:line="270"/>
      </w:pPr>
      <w:r>
        <w:rPr>
          <w:color w:val="1A1A2E"/>
          <w:sz w:val="22"/>
          <w:szCs w:val="22"/>
        </w:rPr>
        <w:t xml:space="preserve">Deployment to a live, private URL for the display and the admin console.</w:t>
      </w:r>
    </w:p>
    <w:p>
      <w:pPr>
        <w:pStyle w:val="ListParagraph"/>
        <w:numPr>
          <w:ilvl w:val="0"/>
          <w:numId w:val="2"/>
        </w:numPr>
        <w:spacing w:after="70" w:line="270"/>
      </w:pPr>
      <w:r>
        <w:rPr>
          <w:color w:val="1A1A2E"/>
          <w:sz w:val="22"/>
          <w:szCs w:val="22"/>
        </w:rPr>
        <w:t xml:space="preserve">A short written guide for staff and a pre-event check.</w:t>
      </w:r>
    </w:p>
    <w:p>
      <w:pPr>
        <w:pStyle w:val="ListParagraph"/>
        <w:numPr>
          <w:ilvl w:val="0"/>
          <w:numId w:val="2"/>
        </w:numPr>
        <w:spacing w:after="70" w:line="270"/>
      </w:pPr>
      <w:r>
        <w:rPr>
          <w:color w:val="1A1A2E"/>
          <w:sz w:val="22"/>
          <w:szCs w:val="22"/>
        </w:rPr>
        <w:t xml:space="preserve">Support for the day of the event and a results backup afterwards.</w:t>
      </w:r>
    </w:p>
    <w:p>
      <w:pPr>
        <w:spacing w:after="120" w:before="40" w:line="276"/>
      </w:pPr>
      <w:r>
        <w:rPr>
          <w:color w:val="1A1A2E"/>
          <w:sz w:val="22"/>
          <w:szCs w:val="22"/>
        </w:rPr>
        <w:t xml:space="preserve">Not included unless added: on-site staffing, password-protected admin, paid hosting tiers, and any new features beyond the current scope. These are available as add-ons (Section 5).</w:t>
      </w:r>
    </w:p>
    <w:p>
      <w:pPr>
        <w:pStyle w:val="Heading2"/>
        <w:spacing w:after="100" w:before="220"/>
      </w:pPr>
      <w:r>
        <w:rPr>
          <w:b/>
          <w:bCs/>
          <w:color w:val="3A4A5C"/>
          <w:sz w:val="24"/>
          <w:szCs w:val="24"/>
        </w:rPr>
        <w:t xml:space="preserve">Next steps</w:t>
      </w:r>
    </w:p>
    <w:p>
      <w:pPr>
        <w:pStyle w:val="ListParagraph"/>
        <w:numPr>
          <w:ilvl w:val="0"/>
          <w:numId w:val="2"/>
        </w:numPr>
        <w:spacing w:after="70" w:line="270"/>
      </w:pPr>
      <w:r>
        <w:rPr>
          <w:color w:val="1A1A2E"/>
          <w:sz w:val="22"/>
          <w:szCs w:val="22"/>
        </w:rPr>
        <w:t xml:space="preserve">Confirm event date, format (laps &amp; points) and branding assets.</w:t>
      </w:r>
    </w:p>
    <w:p>
      <w:pPr>
        <w:pStyle w:val="ListParagraph"/>
        <w:numPr>
          <w:ilvl w:val="0"/>
          <w:numId w:val="2"/>
        </w:numPr>
        <w:spacing w:after="70" w:line="270"/>
      </w:pPr>
      <w:r>
        <w:rPr>
          <w:color w:val="1A1A2E"/>
          <w:sz w:val="22"/>
          <w:szCs w:val="22"/>
        </w:rPr>
        <w:t xml:space="preserve">Select a package.</w:t>
      </w:r>
    </w:p>
    <w:p>
      <w:pPr>
        <w:pStyle w:val="ListParagraph"/>
        <w:numPr>
          <w:ilvl w:val="0"/>
          <w:numId w:val="2"/>
        </w:numPr>
        <w:spacing w:after="70" w:line="270"/>
      </w:pPr>
      <w:r>
        <w:rPr>
          <w:color w:val="1A1A2E"/>
          <w:sz w:val="22"/>
          <w:szCs w:val="22"/>
        </w:rPr>
        <w:t xml:space="preserve">Sign-off and 50% deposit to schedule; balance on go-live.</w:t>
      </w:r>
    </w:p>
    <w:p>
      <w:pPr>
        <w:spacing w:after="160"/>
      </w:pPr>
      <w:r>
        <w:t xml:space="preserve"/>
      </w:r>
    </w:p>
    <w:p>
      <w:pPr>
        <w:spacing w:after="40"/>
      </w:pPr>
      <w:r>
        <w:rPr>
          <w:b/>
          <w:bCs/>
          <w:color w:val="1A1A2E"/>
          <w:sz w:val="22"/>
          <w:szCs w:val="22"/>
        </w:rPr>
        <w:t xml:space="preserve">Questions or to proceed:</w:t>
      </w:r>
    </w:p>
    <w:p>
      <w:r>
        <w:rPr>
          <w:color w:val="3A4A5C"/>
          <w:sz w:val="22"/>
          <w:szCs w:val="22"/>
        </w:rPr>
        <w:t xml:space="preserve">George Bratsos  ·  george.bratsos@atcom.gr</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F" w:sz="4" w:space="6"/>
      </w:pBdr>
      <w:tabs>
        <w:tab w:val="right" w:pos="9360"/>
      </w:tabs>
    </w:pPr>
    <w:r>
      <w:rPr>
        <w:color w:val="8A97A3"/>
        <w:sz w:val="16"/>
        <w:szCs w:val="16"/>
      </w:rPr>
      <w:t xml:space="preserve">Live Event Scoreboard — Proposal &amp; Quote  ·  George Bratsos</w:t>
    </w:r>
    <w:r>
      <w:rPr>
        <w:sz w:val="16"/>
        <w:szCs w:val="16"/>
      </w:rPr>
      <w:t xml:space="preserve">	</w:t>
    </w:r>
    <w:r>
      <w:rPr>
        <w:color w:val="8A97A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A1A2E"/>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3A4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Event Scoreboard — Proposal &amp; Quote</dc:title>
  <dc:creator>George Bratsos</dc:creator>
  <cp:lastModifiedBy>Un-named</cp:lastModifiedBy>
  <cp:revision>1</cp:revision>
  <dcterms:created xsi:type="dcterms:W3CDTF">2026-06-27T21:20:43.312Z</dcterms:created>
  <dcterms:modified xsi:type="dcterms:W3CDTF">2026-06-27T21:20:43.312Z</dcterms:modified>
</cp:coreProperties>
</file>

<file path=docProps/custom.xml><?xml version="1.0" encoding="utf-8"?>
<Properties xmlns="http://schemas.openxmlformats.org/officeDocument/2006/custom-properties" xmlns:vt="http://schemas.openxmlformats.org/officeDocument/2006/docPropsVTypes"/>
</file>