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708A7" w:rsidR="00DE3341" w:rsidP="38DE2078" w:rsidRDefault="00ED2D93" w14:paraId="104A5298" w14:textId="12AA9F8C">
      <w:pPr>
        <w:pStyle w:val="Normal"/>
        <w:rPr>
          <w:rFonts w:ascii="Arial" w:hAnsi="Arial" w:cs="Arial"/>
          <w:b w:val="1"/>
          <w:bCs w:val="1"/>
        </w:rPr>
      </w:pPr>
      <w:hyperlink r:id="R73bd96a6cbd64ba0">
        <w:r w:rsidRPr="38DE2078" w:rsidR="38DE2078">
          <w:rPr>
            <w:rStyle w:val="Hipervnculo"/>
            <w:rFonts w:ascii="Arial" w:hAnsi="Arial" w:cs="Arial"/>
            <w:sz w:val="20"/>
            <w:szCs w:val="20"/>
          </w:rPr>
          <w:t>Catálogo de datos estadísticas económicas</w:t>
        </w:r>
      </w:hyperlink>
      <w:r>
        <w:br/>
      </w:r>
      <w:r>
        <w:br/>
      </w:r>
    </w:p>
    <w:p w:rsidRPr="000708A7" w:rsidR="00DE3341" w:rsidP="38DE2078" w:rsidRDefault="00ED2D93" w14:paraId="56FC7F9D" w14:textId="3DE1BADF">
      <w:pPr>
        <w:rPr>
          <w:rFonts w:ascii="Arial" w:hAnsi="Arial" w:cs="Arial"/>
          <w:sz w:val="20"/>
          <w:szCs w:val="20"/>
        </w:rPr>
      </w:pPr>
      <w:r>
        <w:br/>
      </w:r>
      <w:r w:rsidRPr="38DE2078" w:rsidR="38DE2078">
        <w:rPr>
          <w:rFonts w:ascii="Arial" w:hAnsi="Arial" w:cs="Arial"/>
          <w:sz w:val="20"/>
          <w:szCs w:val="20"/>
        </w:rPr>
        <w:t>TRM:</w:t>
      </w:r>
      <w:r>
        <w:br/>
      </w:r>
      <w:hyperlink r:id="R4e91f64c1d0f496f">
        <w:r w:rsidRPr="38DE2078" w:rsidR="38DE2078">
          <w:rPr>
            <w:rStyle w:val="Hipervnculo"/>
            <w:rFonts w:ascii="Arial" w:hAnsi="Arial" w:cs="Arial"/>
            <w:sz w:val="20"/>
            <w:szCs w:val="20"/>
          </w:rPr>
          <w:t>TRM | Datos Abiertos Colombia</w:t>
        </w:r>
      </w:hyperlink>
      <w:r>
        <w:br/>
      </w:r>
      <w:r>
        <w:br/>
      </w:r>
    </w:p>
    <w:p w:rsidRPr="000708A7" w:rsidR="00DE3341" w:rsidRDefault="00ED2D93" w14:paraId="2E2A6F0D" w14:textId="6E756480">
      <w:pPr>
        <w:rPr>
          <w:rFonts w:ascii="Arial" w:hAnsi="Arial" w:cs="Arial"/>
          <w:sz w:val="20"/>
          <w:szCs w:val="20"/>
        </w:rPr>
      </w:pPr>
      <w:r>
        <w:br/>
      </w:r>
      <w:r w:rsidRPr="38DE2078" w:rsidR="38DE2078">
        <w:rPr>
          <w:rFonts w:ascii="Arial" w:hAnsi="Arial" w:cs="Arial"/>
          <w:sz w:val="20"/>
          <w:szCs w:val="20"/>
        </w:rPr>
        <w:t>TES TF y TCO – mercado secundario:</w:t>
      </w:r>
      <w:r>
        <w:br/>
      </w:r>
      <w:hyperlink r:id="Rdab191e34f70426a">
        <w:r w:rsidRPr="38DE2078" w:rsidR="38DE2078">
          <w:rPr>
            <w:rStyle w:val="Hipervnculo"/>
            <w:rFonts w:ascii="Arial" w:hAnsi="Arial" w:cs="Arial"/>
            <w:sz w:val="20"/>
            <w:szCs w:val="20"/>
          </w:rPr>
          <w:t>Boletines Diarios del SEN | Banco de la República</w:t>
        </w:r>
      </w:hyperlink>
      <w:r>
        <w:br/>
      </w:r>
      <w:r w:rsidRPr="38DE2078" w:rsidR="38DE2078">
        <w:rPr>
          <w:rFonts w:ascii="Arial" w:hAnsi="Arial" w:cs="Arial"/>
          <w:sz w:val="20"/>
          <w:szCs w:val="20"/>
        </w:rPr>
        <w:t>Para TES TF:</w:t>
      </w:r>
    </w:p>
    <w:p w:rsidRPr="000708A7" w:rsidR="00DE3341" w:rsidP="00DE3341" w:rsidRDefault="00DE3341" w14:paraId="451B1BEB" w14:textId="74777C63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38DE2078" w:rsidR="38DE2078">
        <w:rPr>
          <w:rFonts w:ascii="Arial" w:hAnsi="Arial" w:cs="Arial"/>
          <w:sz w:val="20"/>
          <w:szCs w:val="20"/>
        </w:rPr>
        <w:t>Escojamos unos años para seguir: 2028, 2033, 2040, 2046, 2050, 2058</w:t>
      </w:r>
    </w:p>
    <w:p w:rsidR="38DE2078" w:rsidRDefault="38DE2078" w14:paraId="3196273B" w14:textId="7B69A24D"/>
    <w:p w:rsidRPr="000708A7" w:rsidR="00A364B5" w:rsidRDefault="00A364B5" w14:paraId="2BB8DE14" w14:textId="0DEF3E01">
      <w:pPr>
        <w:rPr>
          <w:rFonts w:ascii="Arial" w:hAnsi="Arial" w:cs="Arial"/>
          <w:sz w:val="20"/>
          <w:szCs w:val="20"/>
        </w:rPr>
      </w:pPr>
      <w:r w:rsidRPr="000708A7">
        <w:rPr>
          <w:rFonts w:ascii="Arial" w:hAnsi="Arial" w:cs="Arial"/>
          <w:sz w:val="20"/>
          <w:szCs w:val="20"/>
        </w:rPr>
        <w:br/>
      </w:r>
      <w:proofErr w:type="spellStart"/>
      <w:r w:rsidRPr="000708A7">
        <w:rPr>
          <w:rFonts w:ascii="Arial" w:hAnsi="Arial" w:cs="Arial"/>
          <w:sz w:val="20"/>
          <w:szCs w:val="20"/>
        </w:rPr>
        <w:t>CDTs</w:t>
      </w:r>
      <w:proofErr w:type="spellEnd"/>
      <w:r w:rsidRPr="000708A7">
        <w:rPr>
          <w:rFonts w:ascii="Arial" w:hAnsi="Arial" w:cs="Arial"/>
          <w:sz w:val="20"/>
          <w:szCs w:val="20"/>
        </w:rPr>
        <w:t>:</w:t>
      </w:r>
    </w:p>
    <w:p w:rsidRPr="000708A7" w:rsidR="00A364B5" w:rsidRDefault="00A364B5" w14:paraId="164A4BEE" w14:textId="1F0AD446">
      <w:pPr>
        <w:rPr>
          <w:rFonts w:ascii="Arial" w:hAnsi="Arial" w:cs="Arial"/>
          <w:sz w:val="20"/>
          <w:szCs w:val="20"/>
        </w:rPr>
      </w:pPr>
      <w:hyperlink w:history="1" r:id="rId8">
        <w:r w:rsidRPr="000708A7">
          <w:rPr>
            <w:rStyle w:val="Hipervnculo"/>
            <w:rFonts w:ascii="Arial" w:hAnsi="Arial" w:cs="Arial"/>
            <w:sz w:val="20"/>
            <w:szCs w:val="20"/>
          </w:rPr>
          <w:t>Tasas de interés para captaciones de establecimientos de crédito</w:t>
        </w:r>
      </w:hyperlink>
    </w:p>
    <w:p w:rsidRPr="000708A7" w:rsidR="00A364B5" w:rsidP="00A364B5" w:rsidRDefault="00A364B5" w14:paraId="765C620B" w14:textId="1D599263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0708A7">
        <w:rPr>
          <w:rFonts w:ascii="Arial" w:hAnsi="Arial" w:cs="Arial"/>
          <w:sz w:val="20"/>
          <w:szCs w:val="20"/>
        </w:rPr>
        <w:t>a 60, 90, y 180 días</w:t>
      </w:r>
    </w:p>
    <w:p w:rsidRPr="000708A7" w:rsidR="00A364B5" w:rsidP="00A364B5" w:rsidRDefault="00A364B5" w14:paraId="2954F0E4" w14:textId="477304FB">
      <w:pPr>
        <w:pStyle w:val="Prrafodelista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38DE2078" w:rsidR="38DE2078">
        <w:rPr>
          <w:rFonts w:ascii="Arial" w:hAnsi="Arial" w:cs="Arial"/>
          <w:sz w:val="20"/>
          <w:szCs w:val="20"/>
        </w:rPr>
        <w:t>Bancolombia, Banco de Bogotá, Banco Davivienda, Banco Santander, Bancoomeva</w:t>
      </w:r>
      <w:r>
        <w:br/>
      </w:r>
    </w:p>
    <w:p w:rsidR="38DE2078" w:rsidP="38DE2078" w:rsidRDefault="38DE2078" w14:paraId="6AC6848D" w14:textId="5DCE8FE2">
      <w:pPr>
        <w:pStyle w:val="Normal"/>
        <w:ind w:left="0"/>
        <w:rPr>
          <w:rFonts w:ascii="Arial" w:hAnsi="Arial" w:cs="Arial"/>
          <w:sz w:val="20"/>
          <w:szCs w:val="20"/>
        </w:rPr>
      </w:pPr>
    </w:p>
    <w:p w:rsidRPr="000708A7" w:rsidR="00A364B5" w:rsidP="00A364B5" w:rsidRDefault="00A364B5" w14:paraId="7BDE0559" w14:textId="711732D0">
      <w:pPr>
        <w:rPr>
          <w:rFonts w:ascii="Arial" w:hAnsi="Arial" w:cs="Arial"/>
          <w:sz w:val="20"/>
          <w:szCs w:val="20"/>
        </w:rPr>
      </w:pPr>
      <w:r w:rsidRPr="000708A7">
        <w:rPr>
          <w:rFonts w:ascii="Arial" w:hAnsi="Arial" w:cs="Arial"/>
          <w:sz w:val="20"/>
          <w:szCs w:val="20"/>
        </w:rPr>
        <w:t>TCO subasta prima:</w:t>
      </w:r>
    </w:p>
    <w:p w:rsidRPr="000708A7" w:rsidR="00A364B5" w:rsidP="00A364B5" w:rsidRDefault="00A364B5" w14:paraId="7A51CB35" w14:textId="29AE6025">
      <w:pPr>
        <w:rPr>
          <w:rFonts w:ascii="Arial" w:hAnsi="Arial" w:cs="Arial"/>
          <w:sz w:val="20"/>
          <w:szCs w:val="20"/>
        </w:rPr>
      </w:pPr>
      <w:hyperlink w:history="1" r:id="rId9">
        <w:r w:rsidRPr="000708A7">
          <w:rPr>
            <w:rStyle w:val="Hipervnculo"/>
            <w:rFonts w:ascii="Arial" w:hAnsi="Arial" w:cs="Arial"/>
            <w:sz w:val="20"/>
            <w:szCs w:val="20"/>
          </w:rPr>
          <w:t>Colocaciones Mercado Primario: Subastas e inversiones - www.irc.gov.co</w:t>
        </w:r>
      </w:hyperlink>
    </w:p>
    <w:p w:rsidRPr="000708A7" w:rsidR="00A364B5" w:rsidP="00A364B5" w:rsidRDefault="00A364B5" w14:paraId="59696120" w14:textId="16E6FD3B">
      <w:pPr>
        <w:pStyle w:val="Prrafode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0708A7">
        <w:rPr>
          <w:rFonts w:ascii="Arial" w:hAnsi="Arial" w:cs="Arial"/>
          <w:sz w:val="20"/>
          <w:szCs w:val="20"/>
        </w:rPr>
        <w:t>Subastas TES corto plazo (todas las semanas sale una subasta)</w:t>
      </w:r>
    </w:p>
    <w:p w:rsidRPr="000708A7" w:rsidR="00A364B5" w:rsidP="00A364B5" w:rsidRDefault="00A364B5" w14:paraId="4D3DD33B" w14:textId="77777777">
      <w:pPr>
        <w:pStyle w:val="Prrafodelista"/>
        <w:rPr>
          <w:rFonts w:ascii="Arial" w:hAnsi="Arial" w:cs="Arial"/>
          <w:sz w:val="20"/>
          <w:szCs w:val="20"/>
        </w:rPr>
      </w:pPr>
    </w:p>
    <w:p w:rsidR="38DE2078" w:rsidP="38DE2078" w:rsidRDefault="38DE2078" w14:paraId="091C80A4" w14:textId="4882C55F">
      <w:pPr>
        <w:pStyle w:val="Normal"/>
        <w:ind w:left="0"/>
        <w:rPr>
          <w:rFonts w:ascii="Arial" w:hAnsi="Arial" w:cs="Arial"/>
          <w:sz w:val="20"/>
          <w:szCs w:val="20"/>
        </w:rPr>
      </w:pPr>
    </w:p>
    <w:p w:rsidRPr="000708A7" w:rsidR="00A364B5" w:rsidP="00A364B5" w:rsidRDefault="00A364B5" w14:paraId="6F2DFA93" w14:textId="31941A93">
      <w:pPr>
        <w:rPr>
          <w:rFonts w:ascii="Arial" w:hAnsi="Arial" w:cs="Arial"/>
          <w:sz w:val="20"/>
          <w:szCs w:val="20"/>
        </w:rPr>
      </w:pPr>
      <w:r w:rsidRPr="000708A7">
        <w:rPr>
          <w:rFonts w:ascii="Arial" w:hAnsi="Arial" w:cs="Arial"/>
          <w:sz w:val="20"/>
          <w:szCs w:val="20"/>
        </w:rPr>
        <w:t>Precio petróleo brent:</w:t>
      </w:r>
    </w:p>
    <w:p w:rsidRPr="000708A7" w:rsidR="00A364B5" w:rsidP="00A364B5" w:rsidRDefault="00A364B5" w14:paraId="0EDA762F" w14:textId="13FA53F7">
      <w:pPr>
        <w:rPr>
          <w:rFonts w:ascii="Arial" w:hAnsi="Arial" w:cs="Arial"/>
          <w:sz w:val="20"/>
          <w:szCs w:val="20"/>
        </w:rPr>
      </w:pPr>
      <w:hyperlink w:history="1" r:id="rId10">
        <w:r w:rsidRPr="000708A7">
          <w:rPr>
            <w:rStyle w:val="Hipervnculo"/>
            <w:rFonts w:ascii="Arial" w:hAnsi="Arial" w:cs="Arial"/>
            <w:sz w:val="20"/>
            <w:szCs w:val="20"/>
          </w:rPr>
          <w:t xml:space="preserve">Brent </w:t>
        </w:r>
        <w:proofErr w:type="spellStart"/>
        <w:r w:rsidRPr="000708A7">
          <w:rPr>
            <w:rStyle w:val="Hipervnculo"/>
            <w:rFonts w:ascii="Arial" w:hAnsi="Arial" w:cs="Arial"/>
            <w:sz w:val="20"/>
            <w:szCs w:val="20"/>
          </w:rPr>
          <w:t>Oil</w:t>
        </w:r>
        <w:proofErr w:type="spellEnd"/>
        <w:r w:rsidRPr="000708A7">
          <w:rPr>
            <w:rStyle w:val="Hipervnculo"/>
            <w:rFonts w:ascii="Arial" w:hAnsi="Arial" w:cs="Arial"/>
            <w:sz w:val="20"/>
            <w:szCs w:val="20"/>
          </w:rPr>
          <w:t xml:space="preserve"> Futures </w:t>
        </w:r>
        <w:proofErr w:type="spellStart"/>
        <w:r w:rsidRPr="000708A7">
          <w:rPr>
            <w:rStyle w:val="Hipervnculo"/>
            <w:rFonts w:ascii="Arial" w:hAnsi="Arial" w:cs="Arial"/>
            <w:sz w:val="20"/>
            <w:szCs w:val="20"/>
          </w:rPr>
          <w:t>Historical</w:t>
        </w:r>
        <w:proofErr w:type="spellEnd"/>
        <w:r w:rsidRPr="000708A7">
          <w:rPr>
            <w:rStyle w:val="Hipervnculo"/>
            <w:rFonts w:ascii="Arial" w:hAnsi="Arial" w:cs="Arial"/>
            <w:sz w:val="20"/>
            <w:szCs w:val="20"/>
          </w:rPr>
          <w:t xml:space="preserve"> </w:t>
        </w:r>
        <w:proofErr w:type="spellStart"/>
        <w:r w:rsidRPr="000708A7">
          <w:rPr>
            <w:rStyle w:val="Hipervnculo"/>
            <w:rFonts w:ascii="Arial" w:hAnsi="Arial" w:cs="Arial"/>
            <w:sz w:val="20"/>
            <w:szCs w:val="20"/>
          </w:rPr>
          <w:t>Prices</w:t>
        </w:r>
        <w:proofErr w:type="spellEnd"/>
        <w:r w:rsidRPr="000708A7">
          <w:rPr>
            <w:rStyle w:val="Hipervnculo"/>
            <w:rFonts w:ascii="Arial" w:hAnsi="Arial" w:cs="Arial"/>
            <w:sz w:val="20"/>
            <w:szCs w:val="20"/>
          </w:rPr>
          <w:t xml:space="preserve"> - Investing.com</w:t>
        </w:r>
      </w:hyperlink>
    </w:p>
    <w:p w:rsidRPr="000708A7" w:rsidR="00A364B5" w:rsidP="007A1743" w:rsidRDefault="007A1743" w14:paraId="635672AB" w14:textId="3A431DF4">
      <w:pPr>
        <w:pStyle w:val="Prrafode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38DE2078" w:rsidR="38DE2078">
        <w:rPr>
          <w:rFonts w:ascii="Arial" w:hAnsi="Arial" w:cs="Arial"/>
          <w:b w:val="1"/>
          <w:bCs w:val="1"/>
          <w:sz w:val="20"/>
          <w:szCs w:val="20"/>
        </w:rPr>
        <w:t>Filtrar/seleccionar el símbolo LCOc1</w:t>
      </w:r>
      <w:r w:rsidRPr="38DE2078" w:rsidR="38DE2078">
        <w:rPr>
          <w:rFonts w:ascii="Arial" w:hAnsi="Arial" w:cs="Arial"/>
          <w:sz w:val="20"/>
          <w:szCs w:val="20"/>
        </w:rPr>
        <w:t> (no LCO ni otros códigos)</w:t>
      </w:r>
    </w:p>
    <w:p w:rsidRPr="000708A7" w:rsidR="007A1743" w:rsidP="007A1743" w:rsidRDefault="007A1743" w14:paraId="4759975A" w14:textId="398EB634">
      <w:pPr>
        <w:pStyle w:val="Prrafode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0708A7">
        <w:rPr>
          <w:rFonts w:ascii="Arial" w:hAnsi="Arial" w:cs="Arial"/>
          <w:b/>
          <w:bCs/>
          <w:sz w:val="20"/>
          <w:szCs w:val="20"/>
        </w:rPr>
        <w:t>LCOc1</w:t>
      </w:r>
      <w:r w:rsidRPr="000708A7">
        <w:rPr>
          <w:rFonts w:ascii="Arial" w:hAnsi="Arial" w:cs="Arial"/>
          <w:sz w:val="20"/>
          <w:szCs w:val="20"/>
        </w:rPr>
        <w:t> es el </w:t>
      </w:r>
      <w:r w:rsidRPr="000708A7">
        <w:rPr>
          <w:rFonts w:ascii="Arial" w:hAnsi="Arial" w:cs="Arial"/>
          <w:b/>
          <w:bCs/>
          <w:sz w:val="20"/>
          <w:szCs w:val="20"/>
        </w:rPr>
        <w:t xml:space="preserve">contrato futuro más cercano (c1 = </w:t>
      </w:r>
      <w:proofErr w:type="spellStart"/>
      <w:r w:rsidRPr="000708A7">
        <w:rPr>
          <w:rFonts w:ascii="Arial" w:hAnsi="Arial" w:cs="Arial"/>
          <w:b/>
          <w:bCs/>
          <w:sz w:val="20"/>
          <w:szCs w:val="20"/>
        </w:rPr>
        <w:t>first</w:t>
      </w:r>
      <w:proofErr w:type="spellEnd"/>
      <w:r w:rsidRPr="000708A7">
        <w:rPr>
          <w:rFonts w:ascii="Arial" w:hAnsi="Arial" w:cs="Arial"/>
          <w:b/>
          <w:bCs/>
          <w:sz w:val="20"/>
          <w:szCs w:val="20"/>
        </w:rPr>
        <w:t>/</w:t>
      </w:r>
      <w:proofErr w:type="spellStart"/>
      <w:r w:rsidRPr="000708A7">
        <w:rPr>
          <w:rFonts w:ascii="Arial" w:hAnsi="Arial" w:cs="Arial"/>
          <w:b/>
          <w:bCs/>
          <w:sz w:val="20"/>
          <w:szCs w:val="20"/>
        </w:rPr>
        <w:t>closest</w:t>
      </w:r>
      <w:proofErr w:type="spellEnd"/>
      <w:r w:rsidRPr="000708A7">
        <w:rPr>
          <w:rFonts w:ascii="Arial" w:hAnsi="Arial" w:cs="Arial"/>
          <w:b/>
          <w:bCs/>
          <w:sz w:val="20"/>
          <w:szCs w:val="20"/>
        </w:rPr>
        <w:t>)</w:t>
      </w:r>
      <w:r w:rsidRPr="000708A7">
        <w:rPr>
          <w:rFonts w:ascii="Arial" w:hAnsi="Arial" w:cs="Arial"/>
          <w:sz w:val="20"/>
          <w:szCs w:val="20"/>
        </w:rPr>
        <w:t> y el más transado del Brent Crude en ICE (Intercontinental Exchange). Es el </w:t>
      </w:r>
      <w:r w:rsidRPr="000708A7">
        <w:rPr>
          <w:rFonts w:ascii="Arial" w:hAnsi="Arial" w:cs="Arial"/>
          <w:b/>
          <w:bCs/>
          <w:sz w:val="20"/>
          <w:szCs w:val="20"/>
        </w:rPr>
        <w:t>precio de referencia global estándar</w:t>
      </w:r>
      <w:r w:rsidRPr="000708A7">
        <w:rPr>
          <w:rFonts w:ascii="Arial" w:hAnsi="Arial" w:cs="Arial"/>
          <w:sz w:val="20"/>
          <w:szCs w:val="20"/>
        </w:rPr>
        <w:t> que usan Bloomberg, Reuters y todos los analistas de mercado.</w:t>
      </w:r>
    </w:p>
    <w:p w:rsidRPr="000708A7" w:rsidR="007A1743" w:rsidP="007A1743" w:rsidRDefault="007A1743" w14:paraId="75B149C1" w14:textId="77777777">
      <w:pPr>
        <w:rPr>
          <w:rFonts w:ascii="Arial" w:hAnsi="Arial" w:cs="Arial"/>
          <w:sz w:val="20"/>
          <w:szCs w:val="20"/>
        </w:rPr>
      </w:pPr>
    </w:p>
    <w:p w:rsidRPr="000708A7" w:rsidR="007A1743" w:rsidP="007A1743" w:rsidRDefault="007A1743" w14:paraId="29E52368" w14:textId="7CE46523">
      <w:pPr>
        <w:rPr>
          <w:rFonts w:ascii="Arial" w:hAnsi="Arial" w:cs="Arial"/>
          <w:sz w:val="20"/>
          <w:szCs w:val="20"/>
        </w:rPr>
      </w:pPr>
      <w:r w:rsidRPr="000708A7">
        <w:rPr>
          <w:rFonts w:ascii="Arial" w:hAnsi="Arial" w:cs="Arial"/>
          <w:sz w:val="20"/>
          <w:szCs w:val="20"/>
        </w:rPr>
        <w:t>Inflación IPC:</w:t>
      </w:r>
    </w:p>
    <w:p w:rsidRPr="000708A7" w:rsidR="007A1743" w:rsidP="007A1743" w:rsidRDefault="007A1743" w14:paraId="2CFD10B5" w14:textId="3B77A328">
      <w:pPr>
        <w:rPr>
          <w:rFonts w:ascii="Arial" w:hAnsi="Arial" w:cs="Arial"/>
          <w:sz w:val="20"/>
          <w:szCs w:val="20"/>
        </w:rPr>
      </w:pPr>
      <w:hyperlink w:history="1" w:anchor="indice-de-precios-al-consumidor-ipc-2026" r:id="rId11">
        <w:r w:rsidRPr="000708A7">
          <w:rPr>
            <w:rStyle w:val="Hipervnculo"/>
            <w:rFonts w:ascii="Arial" w:hAnsi="Arial" w:cs="Arial"/>
            <w:sz w:val="20"/>
            <w:szCs w:val="20"/>
          </w:rPr>
          <w:t>DANE - Índice de Precios al Consumidor -IPC- Histórico</w:t>
        </w:r>
      </w:hyperlink>
    </w:p>
    <w:p w:rsidRPr="000708A7" w:rsidR="007A1743" w:rsidP="007A1743" w:rsidRDefault="007A1743" w14:paraId="5FBCA432" w14:textId="66FF7741">
      <w:pPr>
        <w:rPr>
          <w:rFonts w:ascii="Arial" w:hAnsi="Arial" w:cs="Arial"/>
          <w:sz w:val="20"/>
          <w:szCs w:val="20"/>
        </w:rPr>
      </w:pPr>
      <w:hyperlink w:history="1" r:id="rId12">
        <w:r w:rsidRPr="000708A7">
          <w:rPr>
            <w:rStyle w:val="Hipervnculo"/>
            <w:rFonts w:ascii="Arial" w:hAnsi="Arial" w:cs="Arial"/>
            <w:sz w:val="20"/>
            <w:szCs w:val="20"/>
          </w:rPr>
          <w:t>Precios e Inflación</w:t>
        </w:r>
      </w:hyperlink>
      <w:r w:rsidRPr="000708A7">
        <w:rPr>
          <w:rFonts w:ascii="Arial" w:hAnsi="Arial" w:cs="Arial"/>
          <w:sz w:val="20"/>
          <w:szCs w:val="20"/>
        </w:rPr>
        <w:t xml:space="preserve"> &gt; ver IPC total</w:t>
      </w:r>
    </w:p>
    <w:p w:rsidRPr="000708A7" w:rsidR="007A1743" w:rsidP="007A1743" w:rsidRDefault="007A1743" w14:paraId="14A73EB4" w14:textId="77777777">
      <w:pPr>
        <w:rPr>
          <w:rFonts w:ascii="Arial" w:hAnsi="Arial" w:cs="Arial"/>
          <w:sz w:val="20"/>
          <w:szCs w:val="20"/>
        </w:rPr>
      </w:pPr>
    </w:p>
    <w:p w:rsidRPr="000708A7" w:rsidR="00DE3341" w:rsidP="007A1743" w:rsidRDefault="00DE3341" w14:paraId="2DD12923" w14:textId="0B626A7C">
      <w:pPr>
        <w:rPr>
          <w:rFonts w:ascii="Arial" w:hAnsi="Arial" w:cs="Arial"/>
          <w:sz w:val="20"/>
          <w:szCs w:val="20"/>
        </w:rPr>
      </w:pPr>
      <w:r w:rsidRPr="000708A7">
        <w:rPr>
          <w:rFonts w:ascii="Arial" w:hAnsi="Arial" w:cs="Arial"/>
          <w:sz w:val="20"/>
          <w:szCs w:val="20"/>
        </w:rPr>
        <w:t xml:space="preserve">Tasa de política monetaria del Ban </w:t>
      </w:r>
      <w:proofErr w:type="spellStart"/>
      <w:r w:rsidRPr="000708A7">
        <w:rPr>
          <w:rFonts w:ascii="Arial" w:hAnsi="Arial" w:cs="Arial"/>
          <w:sz w:val="20"/>
          <w:szCs w:val="20"/>
        </w:rPr>
        <w:t>Rep</w:t>
      </w:r>
      <w:proofErr w:type="spellEnd"/>
      <w:r w:rsidRPr="000708A7">
        <w:rPr>
          <w:rFonts w:ascii="Arial" w:hAnsi="Arial" w:cs="Arial"/>
          <w:sz w:val="20"/>
          <w:szCs w:val="20"/>
        </w:rPr>
        <w:t>:</w:t>
      </w:r>
      <w:r w:rsidRPr="000708A7">
        <w:rPr>
          <w:rFonts w:ascii="Arial" w:hAnsi="Arial" w:cs="Arial"/>
          <w:sz w:val="20"/>
          <w:szCs w:val="20"/>
        </w:rPr>
        <w:br/>
      </w:r>
      <w:hyperlink w:history="1" r:id="rId13">
        <w:r w:rsidRPr="000708A7">
          <w:rPr>
            <w:rStyle w:val="Hipervnculo"/>
            <w:rFonts w:ascii="Arial" w:hAnsi="Arial" w:cs="Arial"/>
            <w:sz w:val="20"/>
            <w:szCs w:val="20"/>
          </w:rPr>
          <w:t>Tasas de interés</w:t>
        </w:r>
      </w:hyperlink>
    </w:p>
    <w:p w:rsidRPr="000708A7" w:rsidR="00ED2D93" w:rsidP="007A1743" w:rsidRDefault="00ED2D93" w14:paraId="73D7492E" w14:textId="77777777">
      <w:pPr>
        <w:rPr>
          <w:rFonts w:ascii="Arial" w:hAnsi="Arial" w:cs="Arial"/>
          <w:sz w:val="20"/>
          <w:szCs w:val="20"/>
        </w:rPr>
      </w:pPr>
    </w:p>
    <w:p w:rsidRPr="000708A7" w:rsidR="00ED2D93" w:rsidP="007A1743" w:rsidRDefault="00ED2D93" w14:paraId="42349C10" w14:textId="6870FD3B">
      <w:pPr>
        <w:rPr>
          <w:rFonts w:ascii="Arial" w:hAnsi="Arial" w:cs="Arial"/>
          <w:sz w:val="20"/>
          <w:szCs w:val="20"/>
        </w:rPr>
      </w:pPr>
      <w:r w:rsidRPr="000708A7">
        <w:rPr>
          <w:rFonts w:ascii="Arial" w:hAnsi="Arial" w:cs="Arial"/>
          <w:sz w:val="20"/>
          <w:szCs w:val="20"/>
        </w:rPr>
        <w:t>PIB Trimestral:</w:t>
      </w:r>
    </w:p>
    <w:p w:rsidRPr="000708A7" w:rsidR="00ED2D93" w:rsidP="007A1743" w:rsidRDefault="00ED2D93" w14:paraId="5AE06887" w14:textId="5FC04201">
      <w:pPr>
        <w:rPr>
          <w:rFonts w:ascii="Arial" w:hAnsi="Arial" w:cs="Arial"/>
          <w:sz w:val="20"/>
          <w:szCs w:val="20"/>
        </w:rPr>
      </w:pPr>
      <w:hyperlink w:history="1" r:id="rId14">
        <w:r w:rsidRPr="000708A7">
          <w:rPr>
            <w:rStyle w:val="Hipervnculo"/>
            <w:rFonts w:ascii="Arial" w:hAnsi="Arial" w:cs="Arial"/>
            <w:sz w:val="20"/>
            <w:szCs w:val="20"/>
          </w:rPr>
          <w:t>PIB trimestral observado - crecimiento anual serie original</w:t>
        </w:r>
      </w:hyperlink>
    </w:p>
    <w:p w:rsidRPr="000708A7" w:rsidR="00ED2D93" w:rsidP="007A1743" w:rsidRDefault="00ED2D93" w14:paraId="67147367" w14:textId="77777777">
      <w:pPr>
        <w:rPr>
          <w:rFonts w:ascii="Arial" w:hAnsi="Arial" w:cs="Arial"/>
          <w:sz w:val="20"/>
          <w:szCs w:val="20"/>
        </w:rPr>
      </w:pPr>
    </w:p>
    <w:p w:rsidRPr="000708A7" w:rsidR="00ED2D93" w:rsidP="007A1743" w:rsidRDefault="00ED2D93" w14:paraId="7DE331BB" w14:textId="77777777">
      <w:pPr>
        <w:rPr>
          <w:rFonts w:ascii="Arial" w:hAnsi="Arial" w:cs="Arial"/>
          <w:sz w:val="20"/>
          <w:szCs w:val="20"/>
        </w:rPr>
      </w:pPr>
    </w:p>
    <w:p w:rsidRPr="000708A7" w:rsidR="00ED2D93" w:rsidP="00ED2D93" w:rsidRDefault="00ED2D93" w14:paraId="7412FA03" w14:textId="69453670">
      <w:pPr>
        <w:rPr>
          <w:rFonts w:ascii="Arial" w:hAnsi="Arial" w:cs="Arial"/>
          <w:b w:val="1"/>
          <w:bCs w:val="1"/>
          <w:sz w:val="20"/>
          <w:szCs w:val="20"/>
        </w:rPr>
      </w:pPr>
      <w:r w:rsidRPr="38DE2078" w:rsidR="38DE2078">
        <w:rPr>
          <w:rFonts w:ascii="Arial" w:hAnsi="Arial" w:cs="Arial"/>
          <w:b w:val="1"/>
          <w:bCs w:val="1"/>
          <w:sz w:val="20"/>
          <w:szCs w:val="20"/>
        </w:rPr>
        <w:t xml:space="preserve">IBR: </w:t>
      </w:r>
    </w:p>
    <w:p w:rsidRPr="000708A7" w:rsidR="00ED2D93" w:rsidP="00ED2D93" w:rsidRDefault="00ED2D93" w14:paraId="18C1A8CA" w14:textId="6E12B39B">
      <w:pPr>
        <w:rPr>
          <w:rFonts w:ascii="Arial" w:hAnsi="Arial" w:cs="Arial"/>
          <w:sz w:val="20"/>
          <w:szCs w:val="20"/>
        </w:rPr>
      </w:pPr>
      <w:hyperlink r:id="R0173bc35fcca443d">
        <w:r w:rsidRPr="38DE2078" w:rsidR="38DE2078">
          <w:rPr>
            <w:rStyle w:val="Hipervnculo"/>
            <w:rFonts w:ascii="Arial" w:hAnsi="Arial" w:cs="Arial"/>
            <w:sz w:val="20"/>
            <w:szCs w:val="20"/>
          </w:rPr>
          <w:t>https://suameca.banrep.gov.co/estadisticas-economicas/informacionSerie/241/tasas_interes_indicador_bancario_referencia_ibr</w:t>
        </w:r>
      </w:hyperlink>
      <w:r w:rsidRPr="38DE2078" w:rsidR="38DE2078">
        <w:rPr>
          <w:rFonts w:ascii="Arial" w:hAnsi="Arial" w:cs="Arial"/>
          <w:sz w:val="20"/>
          <w:szCs w:val="20"/>
        </w:rPr>
        <w:t xml:space="preserve"> </w:t>
      </w:r>
    </w:p>
    <w:p w:rsidRPr="000708A7" w:rsidR="00ED2D93" w:rsidP="00ED2D93" w:rsidRDefault="00ED2D93" w14:paraId="65DC182C" w14:textId="77777777">
      <w:pPr>
        <w:rPr>
          <w:rFonts w:ascii="Arial" w:hAnsi="Arial" w:cs="Arial"/>
          <w:sz w:val="20"/>
          <w:szCs w:val="20"/>
        </w:rPr>
      </w:pPr>
      <w:r w:rsidRPr="000708A7">
        <w:rPr>
          <w:rFonts w:ascii="Arial" w:hAnsi="Arial" w:cs="Arial"/>
          <w:b/>
          <w:bCs/>
          <w:sz w:val="20"/>
          <w:szCs w:val="20"/>
        </w:rPr>
        <w:t xml:space="preserve">Data </w:t>
      </w:r>
      <w:proofErr w:type="spellStart"/>
      <w:r w:rsidRPr="000708A7">
        <w:rPr>
          <w:rFonts w:ascii="Arial" w:hAnsi="Arial" w:cs="Arial"/>
          <w:b/>
          <w:bCs/>
          <w:sz w:val="20"/>
          <w:szCs w:val="20"/>
        </w:rPr>
        <w:t>fields</w:t>
      </w:r>
      <w:proofErr w:type="spellEnd"/>
      <w:r w:rsidRPr="000708A7">
        <w:rPr>
          <w:rFonts w:ascii="Arial" w:hAnsi="Arial" w:cs="Arial"/>
          <w:b/>
          <w:bCs/>
          <w:sz w:val="20"/>
          <w:szCs w:val="20"/>
        </w:rPr>
        <w:t>:</w:t>
      </w:r>
      <w:r w:rsidRPr="000708A7">
        <w:rPr>
          <w:rFonts w:ascii="Arial" w:hAnsi="Arial" w:cs="Arial"/>
          <w:sz w:val="20"/>
          <w:szCs w:val="20"/>
        </w:rPr>
        <w:t> fecha, Tipo de Tasa (Nominal/</w:t>
      </w:r>
      <w:proofErr w:type="spellStart"/>
      <w:r w:rsidRPr="000708A7">
        <w:rPr>
          <w:rFonts w:ascii="Arial" w:hAnsi="Arial" w:cs="Arial"/>
          <w:sz w:val="20"/>
          <w:szCs w:val="20"/>
        </w:rPr>
        <w:t>Effective</w:t>
      </w:r>
      <w:proofErr w:type="spellEnd"/>
      <w:r w:rsidRPr="000708A7">
        <w:rPr>
          <w:rFonts w:ascii="Arial" w:hAnsi="Arial" w:cs="Arial"/>
          <w:sz w:val="20"/>
          <w:szCs w:val="20"/>
        </w:rPr>
        <w:t xml:space="preserve">), Agente (Banco), Plazo (días), Valor </w:t>
      </w:r>
      <w:proofErr w:type="gramStart"/>
      <w:r w:rsidRPr="000708A7">
        <w:rPr>
          <w:rFonts w:ascii="Arial" w:hAnsi="Arial" w:cs="Arial"/>
          <w:sz w:val="20"/>
          <w:szCs w:val="20"/>
        </w:rPr>
        <w:t>Tasa(</w:t>
      </w:r>
      <w:proofErr w:type="gramEnd"/>
      <w:r w:rsidRPr="000708A7">
        <w:rPr>
          <w:rFonts w:ascii="Arial" w:hAnsi="Arial" w:cs="Arial"/>
          <w:sz w:val="20"/>
          <w:szCs w:val="20"/>
        </w:rPr>
        <w:t>%)</w:t>
      </w:r>
    </w:p>
    <w:p w:rsidRPr="000708A7" w:rsidR="00ED2D93" w:rsidP="00ED2D93" w:rsidRDefault="00ED2D93" w14:paraId="4B6D27F5" w14:textId="77777777">
      <w:pPr>
        <w:rPr>
          <w:rFonts w:ascii="Arial" w:hAnsi="Arial" w:cs="Arial"/>
          <w:sz w:val="20"/>
          <w:szCs w:val="20"/>
        </w:rPr>
      </w:pPr>
    </w:p>
    <w:p w:rsidRPr="000708A7" w:rsidR="00ED2D93" w:rsidP="007A1743" w:rsidRDefault="00ED2D93" w14:paraId="2E3B5C31" w14:textId="77777777">
      <w:pPr>
        <w:rPr>
          <w:rFonts w:ascii="Arial" w:hAnsi="Arial" w:cs="Arial"/>
          <w:sz w:val="20"/>
          <w:szCs w:val="20"/>
        </w:rPr>
      </w:pPr>
    </w:p>
    <w:sectPr w:rsidRPr="000708A7" w:rsidR="00ED2D93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AD9"/>
    <w:multiLevelType w:val="multilevel"/>
    <w:tmpl w:val="523E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8792E0D"/>
    <w:multiLevelType w:val="multilevel"/>
    <w:tmpl w:val="C50C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2EE731F"/>
    <w:multiLevelType w:val="hybridMultilevel"/>
    <w:tmpl w:val="2AA6A254"/>
    <w:lvl w:ilvl="0" w:tplc="E6CE1A24">
      <w:numFmt w:val="bullet"/>
      <w:lvlText w:val="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C052F4E"/>
    <w:multiLevelType w:val="hybridMultilevel"/>
    <w:tmpl w:val="2E0E2BC2"/>
    <w:lvl w:ilvl="0" w:tplc="8A86D530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31211D1"/>
    <w:multiLevelType w:val="multilevel"/>
    <w:tmpl w:val="74CC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44901085"/>
    <w:multiLevelType w:val="hybridMultilevel"/>
    <w:tmpl w:val="4912C310"/>
    <w:lvl w:ilvl="0" w:tplc="27CAB7F8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D8C3E40"/>
    <w:multiLevelType w:val="hybridMultilevel"/>
    <w:tmpl w:val="F404E1D8"/>
    <w:lvl w:ilvl="0" w:tplc="3CF04406">
      <w:numFmt w:val="bullet"/>
      <w:lvlText w:val="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86725073">
    <w:abstractNumId w:val="3"/>
  </w:num>
  <w:num w:numId="2" w16cid:durableId="287513904">
    <w:abstractNumId w:val="2"/>
  </w:num>
  <w:num w:numId="3" w16cid:durableId="1263301123">
    <w:abstractNumId w:val="6"/>
  </w:num>
  <w:num w:numId="4" w16cid:durableId="784544377">
    <w:abstractNumId w:val="5"/>
  </w:num>
  <w:num w:numId="5" w16cid:durableId="1519732733">
    <w:abstractNumId w:val="4"/>
  </w:num>
  <w:num w:numId="6" w16cid:durableId="969286520">
    <w:abstractNumId w:val="0"/>
  </w:num>
  <w:num w:numId="7" w16cid:durableId="99656775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4B5"/>
    <w:rsid w:val="000708A7"/>
    <w:rsid w:val="007A1743"/>
    <w:rsid w:val="007C4EDD"/>
    <w:rsid w:val="0089380C"/>
    <w:rsid w:val="00A364B5"/>
    <w:rsid w:val="00DB6A0E"/>
    <w:rsid w:val="00DE3341"/>
    <w:rsid w:val="00DE3DC3"/>
    <w:rsid w:val="00ED2D93"/>
    <w:rsid w:val="38DE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F4ABD"/>
  <w15:chartTrackingRefBased/>
  <w15:docId w15:val="{9199222B-466F-4B9C-BC4E-7ADF668972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64B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64B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6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6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6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6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6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6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6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364B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A364B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364B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364B5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364B5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364B5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364B5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364B5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364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64B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364B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6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36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64B5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364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64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64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64B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364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64B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64B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64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uperfinanciera.gov.co/powerbi/reportes/533/483/" TargetMode="External" Id="rId8" /><Relationship Type="http://schemas.openxmlformats.org/officeDocument/2006/relationships/hyperlink" Target="https://uba.banrep.gov.co/htmlcommons/SeriesHistoricas/tasas-interes.html" TargetMode="External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hyperlink" Target="https://uba.banrep.gov.co/htmlcommons/SeriesHistoricas/precios-inflacion.html" TargetMode="External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dane.gov.co/index.php/estadisticas-por-tema/precios-y-costos/indice-de-precios-al-consumidor-ipc/ipc-historico" TargetMode="External" Id="rId11" /><Relationship Type="http://schemas.openxmlformats.org/officeDocument/2006/relationships/hyperlink" Target="https://www.investing.com/commodities/brent-oil-historical-data?cid=1184864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www.irc.gov.co/deuda-publica/mercado-primario" TargetMode="External" Id="rId9" /><Relationship Type="http://schemas.openxmlformats.org/officeDocument/2006/relationships/hyperlink" Target="https://suameca.banrep.gov.co/estadisticas-economicas/informacionSerie/500011/producto_interno_bruto_pib_trimestral_observado_crecimiento_anual_serie_original" TargetMode="External" Id="rId14" /><Relationship Type="http://schemas.openxmlformats.org/officeDocument/2006/relationships/hyperlink" Target="https://suameca.banrep.gov.co/estadisticas-economicas/catalogo" TargetMode="External" Id="R73bd96a6cbd64ba0" /><Relationship Type="http://schemas.openxmlformats.org/officeDocument/2006/relationships/hyperlink" Target="https://www.datos.gov.co/Econom-a-y-Finanzas/TRM/ceyp-9c7c/data_preview" TargetMode="External" Id="R4e91f64c1d0f496f" /><Relationship Type="http://schemas.openxmlformats.org/officeDocument/2006/relationships/hyperlink" Target="https://www.banrep.gov.co/es/sen-boletines-diarios" TargetMode="External" Id="Rdab191e34f70426a" /><Relationship Type="http://schemas.openxmlformats.org/officeDocument/2006/relationships/hyperlink" Target="https://suameca.banrep.gov.co/estadisticas-economicas/informacionSerie/241/tasas_interes_indicador_bancario_referencia_ibr" TargetMode="External" Id="R0173bc35fcca443d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Gabriela Walenbergh Lobo</dc:creator>
  <keywords/>
  <dc:description/>
  <lastModifiedBy>Usuario invitado</lastModifiedBy>
  <revision>2</revision>
  <dcterms:created xsi:type="dcterms:W3CDTF">2026-06-12T19:52:00.0000000Z</dcterms:created>
  <dcterms:modified xsi:type="dcterms:W3CDTF">2026-06-17T21:40:10.6050755Z</dcterms:modified>
</coreProperties>
</file>