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E7FFA7" w14:textId="030C1A5F" w:rsidR="00CB75FA" w:rsidRDefault="58628188" w:rsidP="01B4EB0E">
      <w:pPr>
        <w:pStyle w:val="Heading1"/>
        <w:rPr>
          <w:rFonts w:asciiTheme="minorHAnsi" w:eastAsiaTheme="minorEastAsia" w:hAnsiTheme="minorHAnsi" w:cstheme="minorBidi"/>
          <w:color w:val="auto"/>
          <w:sz w:val="18"/>
          <w:szCs w:val="18"/>
        </w:rPr>
      </w:pPr>
      <w:r w:rsidRPr="01B4EB0E">
        <w:t>Darunavir/Ritonavir</w:t>
      </w:r>
    </w:p>
    <w:p w14:paraId="4144814D" w14:textId="49164739" w:rsidR="00CB75FA" w:rsidRDefault="58628188" w:rsidP="01B4EB0E">
      <w:pPr>
        <w:pStyle w:val="Heading2"/>
        <w:rPr>
          <w:rFonts w:asciiTheme="minorHAnsi" w:eastAsiaTheme="minorEastAsia" w:hAnsiTheme="minorHAnsi" w:cstheme="minorBidi"/>
          <w:color w:val="auto"/>
          <w:sz w:val="18"/>
          <w:szCs w:val="18"/>
        </w:rPr>
      </w:pPr>
      <w:r w:rsidRPr="01B4EB0E">
        <w:t>Therapeutic area: Antiviral HIV</w:t>
      </w:r>
    </w:p>
    <w:p w14:paraId="19F7C1B1" w14:textId="04840CF3" w:rsidR="00CB75FA" w:rsidRDefault="00CB75FA" w:rsidP="01B4EB0E">
      <w:pPr>
        <w:spacing w:line="270" w:lineRule="exact"/>
      </w:pPr>
    </w:p>
    <w:p w14:paraId="33F3A557" w14:textId="65E1636B" w:rsidR="00CB75FA" w:rsidRDefault="58628188" w:rsidP="01B4EB0E">
      <w:pPr>
        <w:pStyle w:val="Heading2"/>
        <w:rPr>
          <w:rFonts w:asciiTheme="minorHAnsi" w:eastAsiaTheme="minorEastAsia" w:hAnsiTheme="minorHAnsi" w:cstheme="minorBidi"/>
          <w:color w:val="auto"/>
          <w:sz w:val="18"/>
          <w:szCs w:val="18"/>
        </w:rPr>
      </w:pPr>
      <w:r w:rsidRPr="01B4EB0E">
        <w:t>Overall summary of data in pregnancy</w:t>
      </w:r>
    </w:p>
    <w:p w14:paraId="77C56027" w14:textId="3C6EA9A5" w:rsidR="00CB75FA" w:rsidRDefault="58628188" w:rsidP="01B4EB0E">
      <w:pPr>
        <w:spacing w:line="270" w:lineRule="exact"/>
        <w:rPr>
          <w:rFonts w:eastAsiaTheme="minorEastAsia"/>
          <w:sz w:val="18"/>
          <w:szCs w:val="18"/>
        </w:rPr>
      </w:pPr>
      <w:r w:rsidRPr="01B4EB0E">
        <w:rPr>
          <w:rFonts w:eastAsiaTheme="minorEastAsia"/>
          <w:sz w:val="18"/>
          <w:szCs w:val="18"/>
        </w:rPr>
        <w:t>Darunavir co-administered with low dose ritonavir is indicated in combination with other antiretroviral medicinal products for the treatment of patients with human immunodeficiency virus (HIV-1) infection. Darunavir is primarily metabolised by CYP3A. Ritonavir inhibits CYP3A, thereby increasing the plasma concentrations of darunavir considerably.</w:t>
      </w:r>
    </w:p>
    <w:p w14:paraId="52480123" w14:textId="0217FF73" w:rsidR="00CB75FA" w:rsidRDefault="58628188" w:rsidP="01B4EB0E">
      <w:pPr>
        <w:spacing w:line="270" w:lineRule="exact"/>
        <w:rPr>
          <w:rFonts w:eastAsiaTheme="minorEastAsia"/>
          <w:sz w:val="18"/>
          <w:szCs w:val="18"/>
        </w:rPr>
      </w:pPr>
      <w:proofErr w:type="spellStart"/>
      <w:r w:rsidRPr="01B4EB0E">
        <w:rPr>
          <w:rFonts w:eastAsiaTheme="minorEastAsia"/>
          <w:sz w:val="18"/>
          <w:szCs w:val="18"/>
        </w:rPr>
        <w:t>Darunvir</w:t>
      </w:r>
      <w:proofErr w:type="spellEnd"/>
      <w:r w:rsidRPr="01B4EB0E">
        <w:rPr>
          <w:rFonts w:eastAsiaTheme="minorEastAsia"/>
          <w:sz w:val="18"/>
          <w:szCs w:val="18"/>
        </w:rPr>
        <w:t>/ritonavir is not indicated for use in pregnancy</w:t>
      </w:r>
    </w:p>
    <w:p w14:paraId="00363490" w14:textId="34A22D0C" w:rsidR="00CB75FA" w:rsidRDefault="58628188" w:rsidP="01B4EB0E">
      <w:pPr>
        <w:spacing w:line="270" w:lineRule="exact"/>
        <w:rPr>
          <w:rFonts w:eastAsiaTheme="minorEastAsia"/>
          <w:sz w:val="18"/>
          <w:szCs w:val="18"/>
        </w:rPr>
      </w:pPr>
      <w:r w:rsidRPr="01B4EB0E">
        <w:rPr>
          <w:rFonts w:eastAsiaTheme="minorEastAsia"/>
          <w:sz w:val="18"/>
          <w:szCs w:val="18"/>
        </w:rPr>
        <w:t>Darunavir shows increased exposure in HIV-1 infected patients compared to healthy subjects, this may be explained by the higher concentrations of α1-acid glycoprotein (AAG) in HIV-1 infected patients, resulting in higher darunavir binding to plasma AAG, lower clearance and, therefore, higher plasma concentrations.</w:t>
      </w:r>
    </w:p>
    <w:p w14:paraId="1A23D326" w14:textId="0E25BB1A" w:rsidR="00CB75FA" w:rsidRDefault="58628188" w:rsidP="01B4EB0E">
      <w:pPr>
        <w:spacing w:line="270" w:lineRule="exact"/>
        <w:rPr>
          <w:rFonts w:eastAsiaTheme="minorEastAsia"/>
          <w:sz w:val="18"/>
          <w:szCs w:val="18"/>
        </w:rPr>
      </w:pPr>
      <w:r w:rsidRPr="01B4EB0E">
        <w:rPr>
          <w:rFonts w:eastAsiaTheme="minorEastAsia"/>
          <w:sz w:val="18"/>
          <w:szCs w:val="18"/>
        </w:rPr>
        <w:t>Several authors have published or reviewed pharmacokinetic data in pregnancy:</w:t>
      </w:r>
    </w:p>
    <w:p w14:paraId="1D29ADAD" w14:textId="64A9534B" w:rsidR="00CB75FA" w:rsidRDefault="58628188" w:rsidP="01B4EB0E">
      <w:pPr>
        <w:spacing w:line="270" w:lineRule="exact"/>
        <w:rPr>
          <w:rFonts w:eastAsiaTheme="minorEastAsia"/>
          <w:sz w:val="18"/>
          <w:szCs w:val="18"/>
        </w:rPr>
      </w:pPr>
      <w:r w:rsidRPr="01B4EB0E">
        <w:rPr>
          <w:rFonts w:eastAsiaTheme="minorEastAsia"/>
          <w:b/>
          <w:bCs/>
          <w:sz w:val="18"/>
          <w:szCs w:val="18"/>
        </w:rPr>
        <w:t>**</w:t>
      </w:r>
      <w:proofErr w:type="spellStart"/>
      <w:r w:rsidRPr="01B4EB0E">
        <w:rPr>
          <w:rFonts w:eastAsiaTheme="minorEastAsia"/>
          <w:b/>
          <w:bCs/>
          <w:sz w:val="18"/>
          <w:szCs w:val="18"/>
        </w:rPr>
        <w:t>Zorrilla</w:t>
      </w:r>
      <w:proofErr w:type="spellEnd"/>
      <w:r w:rsidRPr="01B4EB0E">
        <w:rPr>
          <w:rFonts w:eastAsiaTheme="minorEastAsia"/>
          <w:b/>
          <w:bCs/>
          <w:sz w:val="18"/>
          <w:szCs w:val="18"/>
        </w:rPr>
        <w:t xml:space="preserve"> 2014**</w:t>
      </w:r>
      <w:r w:rsidRPr="01B4EB0E">
        <w:rPr>
          <w:rFonts w:eastAsiaTheme="minorEastAsia"/>
          <w:sz w:val="18"/>
          <w:szCs w:val="18"/>
        </w:rPr>
        <w:t xml:space="preserve"> studied the pharmacokinetics in 16 patients in the second and third trimester and postpartum (6- 12 weeks). Patients were given 600/100 mg of darunavir and ritonavir respectively, twice a day.</w:t>
      </w:r>
    </w:p>
    <w:p w14:paraId="37F7435A" w14:textId="71779495" w:rsidR="00CB75FA" w:rsidRDefault="58628188" w:rsidP="01B4EB0E">
      <w:pPr>
        <w:spacing w:line="270" w:lineRule="exact"/>
        <w:rPr>
          <w:rFonts w:eastAsiaTheme="minorEastAsia"/>
          <w:sz w:val="18"/>
          <w:szCs w:val="18"/>
        </w:rPr>
      </w:pPr>
      <w:r w:rsidRPr="01B4EB0E">
        <w:rPr>
          <w:rFonts w:eastAsiaTheme="minorEastAsia"/>
          <w:sz w:val="18"/>
          <w:szCs w:val="18"/>
        </w:rPr>
        <w:t xml:space="preserve">Mean total and unbound darunavir plasma concentrations were higher during the postpartum period compared with the second and third trimesters of pregnancy. The maximum plasma concentration of total darunavir during the second and third trimesters was 28 and 19% lower, respectively, </w:t>
      </w:r>
      <w:r w:rsidRPr="01B4EB0E">
        <w:rPr>
          <w:rFonts w:eastAsiaTheme="minorEastAsia"/>
          <w:i/>
          <w:iCs/>
          <w:sz w:val="18"/>
          <w:szCs w:val="18"/>
        </w:rPr>
        <w:t>_vs._</w:t>
      </w:r>
      <w:r w:rsidRPr="01B4EB0E">
        <w:rPr>
          <w:rFonts w:eastAsiaTheme="minorEastAsia"/>
          <w:sz w:val="18"/>
          <w:szCs w:val="18"/>
        </w:rPr>
        <w:t xml:space="preserve"> postpartum. The median </w:t>
      </w:r>
      <w:proofErr w:type="spellStart"/>
      <w:r w:rsidRPr="01B4EB0E">
        <w:rPr>
          <w:rFonts w:eastAsiaTheme="minorEastAsia"/>
          <w:sz w:val="18"/>
          <w:szCs w:val="18"/>
        </w:rPr>
        <w:t>Tmax</w:t>
      </w:r>
      <w:proofErr w:type="spellEnd"/>
      <w:r w:rsidRPr="01B4EB0E">
        <w:rPr>
          <w:rFonts w:eastAsiaTheme="minorEastAsia"/>
          <w:sz w:val="18"/>
          <w:szCs w:val="18"/>
        </w:rPr>
        <w:t xml:space="preserve"> for total darunavir was 3 h in all periods examined. Total darunavir AUC12h during pregnancy was 24 and 17% lower in the second and third trimesters, respectively, </w:t>
      </w:r>
      <w:r w:rsidRPr="01B4EB0E">
        <w:rPr>
          <w:rFonts w:eastAsiaTheme="minorEastAsia"/>
          <w:i/>
          <w:iCs/>
          <w:sz w:val="18"/>
          <w:szCs w:val="18"/>
        </w:rPr>
        <w:t>_vs._</w:t>
      </w:r>
      <w:r w:rsidRPr="01B4EB0E">
        <w:rPr>
          <w:rFonts w:eastAsiaTheme="minorEastAsia"/>
          <w:sz w:val="18"/>
          <w:szCs w:val="18"/>
        </w:rPr>
        <w:t xml:space="preserve"> postpartum.</w:t>
      </w:r>
    </w:p>
    <w:p w14:paraId="5EBA25BD" w14:textId="5F7B044B" w:rsidR="00CB75FA" w:rsidRDefault="58628188" w:rsidP="01B4EB0E">
      <w:pPr>
        <w:spacing w:line="270" w:lineRule="exact"/>
        <w:rPr>
          <w:rFonts w:eastAsiaTheme="minorEastAsia"/>
          <w:sz w:val="18"/>
          <w:szCs w:val="18"/>
        </w:rPr>
      </w:pPr>
      <w:r w:rsidRPr="01B4EB0E">
        <w:rPr>
          <w:rFonts w:eastAsiaTheme="minorEastAsia"/>
          <w:sz w:val="18"/>
          <w:szCs w:val="18"/>
        </w:rPr>
        <w:t xml:space="preserve">Mean baseline albumin and AAG concentrations were 31 and 617 g/L and postpartum concentrations were 38 and 790 g/L, respectively, resulting in a 22 to 28% decrease during pregnancy </w:t>
      </w:r>
      <w:r w:rsidRPr="01B4EB0E">
        <w:rPr>
          <w:rFonts w:eastAsiaTheme="minorEastAsia"/>
          <w:i/>
          <w:iCs/>
          <w:sz w:val="18"/>
          <w:szCs w:val="18"/>
        </w:rPr>
        <w:t>_vs._</w:t>
      </w:r>
      <w:r w:rsidRPr="01B4EB0E">
        <w:rPr>
          <w:rFonts w:eastAsiaTheme="minorEastAsia"/>
          <w:sz w:val="18"/>
          <w:szCs w:val="18"/>
        </w:rPr>
        <w:t xml:space="preserve"> postpartum. The free fraction of darunavir (ratio of unbound plasma concentration </w:t>
      </w:r>
      <w:r w:rsidRPr="01B4EB0E">
        <w:rPr>
          <w:rFonts w:eastAsiaTheme="minorEastAsia"/>
          <w:i/>
          <w:iCs/>
          <w:sz w:val="18"/>
          <w:szCs w:val="18"/>
        </w:rPr>
        <w:t>_vs._</w:t>
      </w:r>
      <w:r w:rsidRPr="01B4EB0E">
        <w:rPr>
          <w:rFonts w:eastAsiaTheme="minorEastAsia"/>
          <w:sz w:val="18"/>
          <w:szCs w:val="18"/>
        </w:rPr>
        <w:t xml:space="preserve"> total plasma concentration) was slightly higher during pregnancy </w:t>
      </w:r>
      <w:r w:rsidRPr="01B4EB0E">
        <w:rPr>
          <w:rFonts w:eastAsiaTheme="minorEastAsia"/>
          <w:i/>
          <w:iCs/>
          <w:sz w:val="18"/>
          <w:szCs w:val="18"/>
        </w:rPr>
        <w:t>_vs._</w:t>
      </w:r>
      <w:r w:rsidRPr="01B4EB0E">
        <w:rPr>
          <w:rFonts w:eastAsiaTheme="minorEastAsia"/>
          <w:sz w:val="18"/>
          <w:szCs w:val="18"/>
        </w:rPr>
        <w:t xml:space="preserve"> postpartum. Unbound darunavir </w:t>
      </w:r>
      <w:proofErr w:type="spellStart"/>
      <w:r w:rsidRPr="01B4EB0E">
        <w:rPr>
          <w:rFonts w:eastAsiaTheme="minorEastAsia"/>
          <w:sz w:val="18"/>
          <w:szCs w:val="18"/>
        </w:rPr>
        <w:t>Cmax</w:t>
      </w:r>
      <w:proofErr w:type="spellEnd"/>
      <w:r w:rsidRPr="01B4EB0E">
        <w:rPr>
          <w:rFonts w:eastAsiaTheme="minorEastAsia"/>
          <w:sz w:val="18"/>
          <w:szCs w:val="18"/>
        </w:rPr>
        <w:t xml:space="preserve"> was 22 and 18% lower during the second and third trimesters, respectively, </w:t>
      </w:r>
      <w:r w:rsidRPr="01B4EB0E">
        <w:rPr>
          <w:rFonts w:eastAsiaTheme="minorEastAsia"/>
          <w:i/>
          <w:iCs/>
          <w:sz w:val="18"/>
          <w:szCs w:val="18"/>
        </w:rPr>
        <w:t>_vs_</w:t>
      </w:r>
      <w:r w:rsidRPr="01B4EB0E">
        <w:rPr>
          <w:rFonts w:eastAsiaTheme="minorEastAsia"/>
          <w:sz w:val="18"/>
          <w:szCs w:val="18"/>
        </w:rPr>
        <w:t xml:space="preserve"> postpartum. The median </w:t>
      </w:r>
      <w:proofErr w:type="spellStart"/>
      <w:r w:rsidRPr="01B4EB0E">
        <w:rPr>
          <w:rFonts w:eastAsiaTheme="minorEastAsia"/>
          <w:sz w:val="18"/>
          <w:szCs w:val="18"/>
        </w:rPr>
        <w:t>Tmax</w:t>
      </w:r>
      <w:proofErr w:type="spellEnd"/>
      <w:r w:rsidRPr="01B4EB0E">
        <w:rPr>
          <w:rFonts w:eastAsiaTheme="minorEastAsia"/>
          <w:sz w:val="18"/>
          <w:szCs w:val="18"/>
        </w:rPr>
        <w:t xml:space="preserve"> of unbound darunavir was approximately 3 h during pregnancy and 2 h postpartum. Unbound darunavir AUC12h was 8 and 7% lower during the second and third trimesters, respectively, </w:t>
      </w:r>
      <w:r w:rsidRPr="01B4EB0E">
        <w:rPr>
          <w:rFonts w:eastAsiaTheme="minorEastAsia"/>
          <w:i/>
          <w:iCs/>
          <w:sz w:val="18"/>
          <w:szCs w:val="18"/>
        </w:rPr>
        <w:t>_vs._</w:t>
      </w:r>
      <w:r w:rsidRPr="01B4EB0E">
        <w:rPr>
          <w:rFonts w:eastAsiaTheme="minorEastAsia"/>
          <w:sz w:val="18"/>
          <w:szCs w:val="18"/>
        </w:rPr>
        <w:t xml:space="preserve"> postpartum.</w:t>
      </w:r>
    </w:p>
    <w:p w14:paraId="4E4F81AA" w14:textId="3E9A84B6" w:rsidR="00CB75FA" w:rsidRDefault="58628188" w:rsidP="01B4EB0E">
      <w:pPr>
        <w:spacing w:line="270" w:lineRule="exact"/>
        <w:rPr>
          <w:rFonts w:eastAsiaTheme="minorEastAsia"/>
          <w:sz w:val="18"/>
          <w:szCs w:val="18"/>
        </w:rPr>
      </w:pPr>
      <w:r w:rsidRPr="01B4EB0E">
        <w:rPr>
          <w:rFonts w:eastAsiaTheme="minorEastAsia"/>
          <w:sz w:val="18"/>
          <w:szCs w:val="18"/>
        </w:rPr>
        <w:t xml:space="preserve">Mean total ritonavir plasma concentrations were higher during the postpartum period compared with the second and third trimesters of pregnancy. Median total ritonavir plasma concentrations peaked 4 h after drug administration during pregnancy and at 6 h in the postpartum period. Total ritonavir </w:t>
      </w:r>
      <w:proofErr w:type="spellStart"/>
      <w:r w:rsidRPr="01B4EB0E">
        <w:rPr>
          <w:rFonts w:eastAsiaTheme="minorEastAsia"/>
          <w:sz w:val="18"/>
          <w:szCs w:val="18"/>
        </w:rPr>
        <w:t>Cmax</w:t>
      </w:r>
      <w:proofErr w:type="spellEnd"/>
      <w:r w:rsidRPr="01B4EB0E">
        <w:rPr>
          <w:rFonts w:eastAsiaTheme="minorEastAsia"/>
          <w:sz w:val="18"/>
          <w:szCs w:val="18"/>
        </w:rPr>
        <w:t xml:space="preserve"> during the second and third trimesters of pregnancy was 34 and 37% lower, respectively, </w:t>
      </w:r>
      <w:r w:rsidRPr="01B4EB0E">
        <w:rPr>
          <w:rFonts w:eastAsiaTheme="minorEastAsia"/>
          <w:i/>
          <w:iCs/>
          <w:sz w:val="18"/>
          <w:szCs w:val="18"/>
        </w:rPr>
        <w:t>_vs._</w:t>
      </w:r>
      <w:r w:rsidRPr="01B4EB0E">
        <w:rPr>
          <w:rFonts w:eastAsiaTheme="minorEastAsia"/>
          <w:sz w:val="18"/>
          <w:szCs w:val="18"/>
        </w:rPr>
        <w:t xml:space="preserve"> postpartum based on the LSM ratios. Total ritonavir AUC12h during pregnancy was 28 and 33% lower in the second and third trimesters, respectively, </w:t>
      </w:r>
      <w:r w:rsidRPr="01B4EB0E">
        <w:rPr>
          <w:rFonts w:eastAsiaTheme="minorEastAsia"/>
          <w:i/>
          <w:iCs/>
          <w:sz w:val="18"/>
          <w:szCs w:val="18"/>
        </w:rPr>
        <w:t>_vs._</w:t>
      </w:r>
      <w:r w:rsidRPr="01B4EB0E">
        <w:rPr>
          <w:rFonts w:eastAsiaTheme="minorEastAsia"/>
          <w:sz w:val="18"/>
          <w:szCs w:val="18"/>
        </w:rPr>
        <w:t xml:space="preserve"> postpartum.</w:t>
      </w:r>
    </w:p>
    <w:p w14:paraId="1A45365C" w14:textId="62205EA8" w:rsidR="00CB75FA" w:rsidRDefault="58628188" w:rsidP="01B4EB0E">
      <w:pPr>
        <w:spacing w:line="270" w:lineRule="exact"/>
        <w:rPr>
          <w:rFonts w:eastAsiaTheme="minorEastAsia"/>
          <w:sz w:val="18"/>
          <w:szCs w:val="18"/>
        </w:rPr>
      </w:pPr>
      <w:r w:rsidRPr="01B4EB0E">
        <w:rPr>
          <w:rFonts w:eastAsiaTheme="minorEastAsia"/>
          <w:sz w:val="18"/>
          <w:szCs w:val="18"/>
        </w:rPr>
        <w:t xml:space="preserve">These data are consistent with published reports demonstrating a decrease in total drug exposure (AUC) of darunavir/ritonavir 600/ 100 mg bid during pregnancy ranging from 29 to 36%. However, the current study also assessed free plasma darunavir levels, which were higher during pregnancy </w:t>
      </w:r>
      <w:r w:rsidRPr="01B4EB0E">
        <w:rPr>
          <w:rFonts w:eastAsiaTheme="minorEastAsia"/>
          <w:i/>
          <w:iCs/>
          <w:sz w:val="18"/>
          <w:szCs w:val="18"/>
        </w:rPr>
        <w:t>_vs._</w:t>
      </w:r>
      <w:r w:rsidRPr="01B4EB0E">
        <w:rPr>
          <w:rFonts w:eastAsiaTheme="minorEastAsia"/>
          <w:sz w:val="18"/>
          <w:szCs w:val="18"/>
        </w:rPr>
        <w:t xml:space="preserve"> postpartum. Therefore, the difference in unbound </w:t>
      </w:r>
      <w:proofErr w:type="spellStart"/>
      <w:r w:rsidRPr="01B4EB0E">
        <w:rPr>
          <w:rFonts w:eastAsiaTheme="minorEastAsia"/>
          <w:sz w:val="18"/>
          <w:szCs w:val="18"/>
        </w:rPr>
        <w:t>Cmax</w:t>
      </w:r>
      <w:proofErr w:type="spellEnd"/>
      <w:r w:rsidRPr="01B4EB0E">
        <w:rPr>
          <w:rFonts w:eastAsiaTheme="minorEastAsia"/>
          <w:sz w:val="18"/>
          <w:szCs w:val="18"/>
        </w:rPr>
        <w:t xml:space="preserve"> and AUC12h at postpartum compared with values found during pregnancy was minimal.</w:t>
      </w:r>
    </w:p>
    <w:p w14:paraId="0CEF6553" w14:textId="3B4A8849" w:rsidR="00CB75FA" w:rsidRDefault="58628188" w:rsidP="01B4EB0E">
      <w:pPr>
        <w:spacing w:line="270" w:lineRule="exact"/>
        <w:rPr>
          <w:rFonts w:eastAsiaTheme="minorEastAsia"/>
          <w:sz w:val="18"/>
          <w:szCs w:val="18"/>
        </w:rPr>
      </w:pPr>
      <w:r w:rsidRPr="01B4EB0E">
        <w:rPr>
          <w:rFonts w:eastAsiaTheme="minorEastAsia"/>
          <w:sz w:val="18"/>
          <w:szCs w:val="18"/>
        </w:rPr>
        <w:t>The response rate (&lt; 50 copies/mL) increased significantly from 33% (five of 15) at baseline to 73% (eight of 11) and 90% (nine of 10) during the second and third trimesters, respectively, and was 80% (eight of 10) at 12 weeks postpartum. Three patients had detectable viral loads during pregnancy; two patients had detectable viral load during the second but not the third trimester [72 copies/mL in one patient (100% reported adherence in both trimesters) and 123 copies/mL in the other (87.5% reported adherence in the second trimester, and 100% reported adherence in the third)]. The third patient had detectable viral load during both trimesters (813 copies/mL in the second trimester and 59 copies/mL in the third trimester), with 100% reported adherence for both trimesters. Of these three patients with detectable viral load during pregnancy, two had undetectable viral load in the postpartum and follow-up periods.</w:t>
      </w:r>
    </w:p>
    <w:p w14:paraId="2A2C4545" w14:textId="6BDFA3E7" w:rsidR="00CB75FA" w:rsidRDefault="58628188" w:rsidP="01B4EB0E">
      <w:pPr>
        <w:spacing w:line="270" w:lineRule="exact"/>
        <w:rPr>
          <w:rFonts w:eastAsiaTheme="minorEastAsia"/>
          <w:sz w:val="18"/>
          <w:szCs w:val="18"/>
        </w:rPr>
      </w:pPr>
      <w:r w:rsidRPr="01B4EB0E">
        <w:rPr>
          <w:rFonts w:eastAsiaTheme="minorEastAsia"/>
          <w:b/>
          <w:bCs/>
          <w:sz w:val="18"/>
          <w:szCs w:val="18"/>
        </w:rPr>
        <w:lastRenderedPageBreak/>
        <w:t>**Khoo 2017**</w:t>
      </w:r>
      <w:r w:rsidRPr="01B4EB0E">
        <w:rPr>
          <w:rFonts w:eastAsiaTheme="minorEastAsia"/>
          <w:sz w:val="18"/>
          <w:szCs w:val="18"/>
        </w:rPr>
        <w:t xml:space="preserve"> reviewed 5 pharmacokinetic studies from clinicaltrails.gov that had been performed in pregnant women. Doses were darunavir/ritonavir 800/100 mg OD or 600/100 BID.</w:t>
      </w:r>
    </w:p>
    <w:p w14:paraId="7A5136DE" w14:textId="4868F00F" w:rsidR="00CB75FA" w:rsidRDefault="58628188" w:rsidP="01B4EB0E">
      <w:pPr>
        <w:spacing w:line="270" w:lineRule="exact"/>
        <w:rPr>
          <w:rFonts w:eastAsiaTheme="minorEastAsia"/>
          <w:sz w:val="18"/>
          <w:szCs w:val="18"/>
        </w:rPr>
      </w:pPr>
      <w:r w:rsidRPr="01B4EB0E">
        <w:rPr>
          <w:rFonts w:eastAsiaTheme="minorEastAsia"/>
          <w:sz w:val="18"/>
          <w:szCs w:val="18"/>
        </w:rPr>
        <w:t xml:space="preserve">This review includes the data of </w:t>
      </w:r>
      <w:proofErr w:type="spellStart"/>
      <w:r w:rsidRPr="01B4EB0E">
        <w:rPr>
          <w:rFonts w:eastAsiaTheme="minorEastAsia"/>
          <w:sz w:val="18"/>
          <w:szCs w:val="18"/>
        </w:rPr>
        <w:t>Zorrilla</w:t>
      </w:r>
      <w:proofErr w:type="spellEnd"/>
      <w:r w:rsidRPr="01B4EB0E">
        <w:rPr>
          <w:rFonts w:eastAsiaTheme="minorEastAsia"/>
          <w:sz w:val="18"/>
          <w:szCs w:val="18"/>
        </w:rPr>
        <w:t xml:space="preserve"> (above). As part of the same study, the 800/100 mm QD dose of darunavir/ritonavir was also evaluated. Total minimal darunavir concentrations were reduced by 32- 50% during pregnancy versus post-partum. However unbound darunavir </w:t>
      </w:r>
      <w:proofErr w:type="spellStart"/>
      <w:r w:rsidRPr="01B4EB0E">
        <w:rPr>
          <w:rFonts w:eastAsiaTheme="minorEastAsia"/>
          <w:sz w:val="18"/>
          <w:szCs w:val="18"/>
        </w:rPr>
        <w:t>Cmin</w:t>
      </w:r>
      <w:proofErr w:type="spellEnd"/>
      <w:r w:rsidRPr="01B4EB0E">
        <w:rPr>
          <w:rFonts w:eastAsiaTheme="minorEastAsia"/>
          <w:sz w:val="18"/>
          <w:szCs w:val="18"/>
        </w:rPr>
        <w:t xml:space="preserve"> was reduced by 13- 38%. Similar trends were observed for darunavir </w:t>
      </w:r>
      <w:proofErr w:type="spellStart"/>
      <w:r w:rsidRPr="01B4EB0E">
        <w:rPr>
          <w:rFonts w:eastAsiaTheme="minorEastAsia"/>
          <w:sz w:val="18"/>
          <w:szCs w:val="18"/>
        </w:rPr>
        <w:t>Cmax</w:t>
      </w:r>
      <w:proofErr w:type="spellEnd"/>
      <w:r w:rsidRPr="01B4EB0E">
        <w:rPr>
          <w:rFonts w:eastAsiaTheme="minorEastAsia"/>
          <w:sz w:val="18"/>
          <w:szCs w:val="18"/>
        </w:rPr>
        <w:t xml:space="preserve"> and AUC. At the third trimester all 14 women with data available had a plasma HIV-1 RNA levels of &lt;50 copies/ml and all 16 infants were born HIV negative.</w:t>
      </w:r>
    </w:p>
    <w:p w14:paraId="1885947B" w14:textId="56E2E677" w:rsidR="00CB75FA" w:rsidRDefault="58628188" w:rsidP="01B4EB0E">
      <w:pPr>
        <w:spacing w:line="270" w:lineRule="exact"/>
        <w:rPr>
          <w:rFonts w:eastAsiaTheme="minorEastAsia"/>
          <w:sz w:val="18"/>
          <w:szCs w:val="18"/>
        </w:rPr>
      </w:pPr>
      <w:r w:rsidRPr="01B4EB0E">
        <w:rPr>
          <w:rFonts w:eastAsiaTheme="minorEastAsia"/>
          <w:sz w:val="18"/>
          <w:szCs w:val="18"/>
        </w:rPr>
        <w:t xml:space="preserve">A second study performed in France studied 33 HIV-1 positive pregnant women given similar doses of 800/100 mg OD or 600/100 BID. Plasma darunavir concentrations were evaluated during the three trimesters of pregnancy and at delivery. For mothers receiving the 800/ 100 mg dose mean darunavir </w:t>
      </w:r>
      <w:proofErr w:type="gramStart"/>
      <w:r w:rsidRPr="01B4EB0E">
        <w:rPr>
          <w:rFonts w:eastAsiaTheme="minorEastAsia"/>
          <w:sz w:val="18"/>
          <w:szCs w:val="18"/>
        </w:rPr>
        <w:t>24 hour</w:t>
      </w:r>
      <w:proofErr w:type="gramEnd"/>
      <w:r w:rsidRPr="01B4EB0E">
        <w:rPr>
          <w:rFonts w:eastAsiaTheme="minorEastAsia"/>
          <w:sz w:val="18"/>
          <w:szCs w:val="18"/>
        </w:rPr>
        <w:t xml:space="preserve"> concentrations were 999, 1,351 and 1,083 ng/ml during the first second and third trimester versus 419 ng/ml at delivery. For Mothers receiving the 600/100 mg BID doses. The mean darunavir </w:t>
      </w:r>
      <w:proofErr w:type="gramStart"/>
      <w:r w:rsidRPr="01B4EB0E">
        <w:rPr>
          <w:rFonts w:eastAsiaTheme="minorEastAsia"/>
          <w:sz w:val="18"/>
          <w:szCs w:val="18"/>
        </w:rPr>
        <w:t>12 hour</w:t>
      </w:r>
      <w:proofErr w:type="gramEnd"/>
      <w:r w:rsidRPr="01B4EB0E">
        <w:rPr>
          <w:rFonts w:eastAsiaTheme="minorEastAsia"/>
          <w:sz w:val="18"/>
          <w:szCs w:val="18"/>
        </w:rPr>
        <w:t xml:space="preserve"> concentrations were 1,996, 1,746 and 2059 ng/ml during the first, second and third trimester of pregnancy, respectively versus 1,719 ng/ml at delivery. Darunavir concentrations reductions were -25% between first and second trimesters and -20% between first and third trimesters. All women except one had a median </w:t>
      </w:r>
      <w:proofErr w:type="spellStart"/>
      <w:r w:rsidRPr="01B4EB0E">
        <w:rPr>
          <w:rFonts w:eastAsiaTheme="minorEastAsia"/>
          <w:sz w:val="18"/>
          <w:szCs w:val="18"/>
        </w:rPr>
        <w:t>Cmin</w:t>
      </w:r>
      <w:proofErr w:type="spellEnd"/>
      <w:r w:rsidRPr="01B4EB0E">
        <w:rPr>
          <w:rFonts w:eastAsiaTheme="minorEastAsia"/>
          <w:sz w:val="18"/>
          <w:szCs w:val="18"/>
        </w:rPr>
        <w:t xml:space="preserve"> above the </w:t>
      </w:r>
      <w:proofErr w:type="spellStart"/>
      <w:r w:rsidRPr="01B4EB0E">
        <w:rPr>
          <w:rFonts w:eastAsiaTheme="minorEastAsia"/>
          <w:sz w:val="18"/>
          <w:szCs w:val="18"/>
        </w:rPr>
        <w:t>drunavir</w:t>
      </w:r>
      <w:proofErr w:type="spellEnd"/>
      <w:r w:rsidRPr="01B4EB0E">
        <w:rPr>
          <w:rFonts w:eastAsiaTheme="minorEastAsia"/>
          <w:sz w:val="18"/>
          <w:szCs w:val="18"/>
        </w:rPr>
        <w:t xml:space="preserve"> protein-binding adjusted EC50 for resistant HIV (~550 ng/ml) irrespective of the regimen. All 19 infants with available outcome data were HIV-1 negative.</w:t>
      </w:r>
    </w:p>
    <w:p w14:paraId="54EBD2FC" w14:textId="18B0557D" w:rsidR="00CB75FA" w:rsidRDefault="58628188" w:rsidP="01B4EB0E">
      <w:pPr>
        <w:spacing w:line="270" w:lineRule="exact"/>
        <w:rPr>
          <w:rFonts w:eastAsiaTheme="minorEastAsia"/>
          <w:sz w:val="18"/>
          <w:szCs w:val="18"/>
        </w:rPr>
      </w:pPr>
      <w:r w:rsidRPr="01B4EB0E">
        <w:rPr>
          <w:rFonts w:eastAsiaTheme="minorEastAsia"/>
          <w:sz w:val="18"/>
          <w:szCs w:val="18"/>
        </w:rPr>
        <w:t xml:space="preserve">The PANNA study (also </w:t>
      </w:r>
      <w:r w:rsidRPr="01B4EB0E">
        <w:rPr>
          <w:rFonts w:eastAsiaTheme="minorEastAsia"/>
          <w:b/>
          <w:bCs/>
          <w:sz w:val="18"/>
          <w:szCs w:val="18"/>
        </w:rPr>
        <w:t>**</w:t>
      </w:r>
      <w:proofErr w:type="spellStart"/>
      <w:r w:rsidRPr="01B4EB0E">
        <w:rPr>
          <w:rFonts w:eastAsiaTheme="minorEastAsia"/>
          <w:b/>
          <w:bCs/>
          <w:sz w:val="18"/>
          <w:szCs w:val="18"/>
        </w:rPr>
        <w:t>Colbers</w:t>
      </w:r>
      <w:proofErr w:type="spellEnd"/>
      <w:r w:rsidRPr="01B4EB0E">
        <w:rPr>
          <w:rFonts w:eastAsiaTheme="minorEastAsia"/>
          <w:b/>
          <w:bCs/>
          <w:sz w:val="18"/>
          <w:szCs w:val="18"/>
        </w:rPr>
        <w:t xml:space="preserve"> 2015**</w:t>
      </w:r>
      <w:r w:rsidRPr="01B4EB0E">
        <w:rPr>
          <w:rFonts w:eastAsiaTheme="minorEastAsia"/>
          <w:sz w:val="18"/>
          <w:szCs w:val="18"/>
        </w:rPr>
        <w:t xml:space="preserve">) employed the same doses and studied women during the third trimester of pregnancy and postpartum. HIV-infected pregnant women recruited from HIV treatment centres in Europe. HIV-infected pregnant women. Treated with darunavir (800/100 mg once daily or 600/100 mg twice daily) as part of their combination ART. Pharmacokinetic curves were recorded in the third trimester and post-partum. AUCtau was 22% and 34% lower in the third trimester than post-partum for 600/100 mg twice daily and 800/100 mg once daily, respectively. </w:t>
      </w:r>
      <w:proofErr w:type="spellStart"/>
      <w:r w:rsidRPr="01B4EB0E">
        <w:rPr>
          <w:rFonts w:eastAsiaTheme="minorEastAsia"/>
          <w:sz w:val="18"/>
          <w:szCs w:val="18"/>
        </w:rPr>
        <w:t>Cmax</w:t>
      </w:r>
      <w:proofErr w:type="spellEnd"/>
      <w:r w:rsidRPr="01B4EB0E">
        <w:rPr>
          <w:rFonts w:eastAsiaTheme="minorEastAsia"/>
          <w:sz w:val="18"/>
          <w:szCs w:val="18"/>
        </w:rPr>
        <w:t xml:space="preserve"> was 24% and 22% lower during pregnancy and C12/C24 was 11% and 42% lower for the twice-daily regimen and the once-daily regimen, respectively. Mean protein-free fraction of darunavir (95% CI) was similar 12% (11%–13%, 44 samples of 19 patients) in the third trimester and 10% (9%–11%, 30 samples of 14 patients) post-partum.</w:t>
      </w:r>
    </w:p>
    <w:p w14:paraId="2961BA8E" w14:textId="34C0696E" w:rsidR="00CB75FA" w:rsidRDefault="58628188" w:rsidP="01B4EB0E">
      <w:pPr>
        <w:spacing w:line="270" w:lineRule="exact"/>
        <w:rPr>
          <w:rFonts w:eastAsiaTheme="minorEastAsia"/>
          <w:sz w:val="18"/>
          <w:szCs w:val="18"/>
        </w:rPr>
      </w:pPr>
      <w:r w:rsidRPr="01B4EB0E">
        <w:rPr>
          <w:rFonts w:eastAsiaTheme="minorEastAsia"/>
          <w:sz w:val="18"/>
          <w:szCs w:val="18"/>
        </w:rPr>
        <w:t xml:space="preserve">Ritonavir exposure (AUCtau) was markedly decreased during pregnancy: 26% and 41% for the twice-daily regimen and the once-daily regimen, respectively; </w:t>
      </w:r>
      <w:proofErr w:type="spellStart"/>
      <w:r w:rsidRPr="01B4EB0E">
        <w:rPr>
          <w:rFonts w:eastAsiaTheme="minorEastAsia"/>
          <w:sz w:val="18"/>
          <w:szCs w:val="18"/>
        </w:rPr>
        <w:t>Cmax</w:t>
      </w:r>
      <w:proofErr w:type="spellEnd"/>
      <w:r w:rsidRPr="01B4EB0E">
        <w:rPr>
          <w:rFonts w:eastAsiaTheme="minorEastAsia"/>
          <w:sz w:val="18"/>
          <w:szCs w:val="18"/>
        </w:rPr>
        <w:t xml:space="preserve"> was even more affected: 37% and 41% lower for the twice-daily regimen and the once daily regimen, respectively.</w:t>
      </w:r>
    </w:p>
    <w:p w14:paraId="42A0581C" w14:textId="50B7B3C3" w:rsidR="00550C4A" w:rsidRPr="00550C4A" w:rsidRDefault="00550C4A" w:rsidP="00550C4A">
      <w:pPr>
        <w:spacing w:after="0" w:line="240" w:lineRule="auto"/>
        <w:rPr>
          <w:rFonts w:ascii="Times New Roman" w:eastAsia="Times New Roman" w:hAnsi="Times New Roman" w:cs="Times New Roman"/>
          <w:sz w:val="24"/>
          <w:szCs w:val="24"/>
          <w:lang w:eastAsia="en-GB"/>
        </w:rPr>
      </w:pPr>
      <w:r w:rsidRPr="00550C4A">
        <w:rPr>
          <w:rFonts w:ascii="Times New Roman" w:eastAsia="Times New Roman" w:hAnsi="Times New Roman" w:cs="Times New Roman"/>
          <w:sz w:val="24"/>
          <w:szCs w:val="24"/>
          <w:lang w:eastAsia="en-GB"/>
        </w:rPr>
        <w:fldChar w:fldCharType="begin"/>
      </w:r>
      <w:r w:rsidRPr="00550C4A">
        <w:rPr>
          <w:rFonts w:ascii="Times New Roman" w:eastAsia="Times New Roman" w:hAnsi="Times New Roman" w:cs="Times New Roman"/>
          <w:sz w:val="24"/>
          <w:szCs w:val="24"/>
          <w:lang w:eastAsia="en-GB"/>
        </w:rPr>
        <w:instrText xml:space="preserve"> INCLUDEPICTURE "https://external-content.duckduckgo.com/iu/?u=http%3A%2F%2Fimages.bit-tech.net%2Fnews_images%2F2011%2F05%2Fgoogle-warned-over-online-drug-ads%2Farticle_img.jpg&amp;f=1&amp;nofb=1" \* MERGEFORMATINET </w:instrText>
      </w:r>
      <w:r w:rsidRPr="00550C4A">
        <w:rPr>
          <w:rFonts w:ascii="Times New Roman" w:eastAsia="Times New Roman" w:hAnsi="Times New Roman" w:cs="Times New Roman"/>
          <w:sz w:val="24"/>
          <w:szCs w:val="24"/>
          <w:lang w:eastAsia="en-GB"/>
        </w:rPr>
        <w:fldChar w:fldCharType="separate"/>
      </w:r>
      <w:r w:rsidRPr="00550C4A">
        <w:rPr>
          <w:rFonts w:ascii="Times New Roman" w:eastAsia="Times New Roman" w:hAnsi="Times New Roman" w:cs="Times New Roman"/>
          <w:noProof/>
          <w:sz w:val="24"/>
          <w:szCs w:val="24"/>
          <w:lang w:eastAsia="en-GB"/>
        </w:rPr>
        <w:drawing>
          <wp:inline distT="0" distB="0" distL="0" distR="0" wp14:anchorId="43698857" wp14:editId="523B9302">
            <wp:extent cx="2731625" cy="2274760"/>
            <wp:effectExtent l="0" t="0" r="0" b="0"/>
            <wp:docPr id="1" name="Picture 1" descr="A large pile of medic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arge pile of medicin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39406" cy="2281240"/>
                    </a:xfrm>
                    <a:prstGeom prst="rect">
                      <a:avLst/>
                    </a:prstGeom>
                    <a:noFill/>
                    <a:ln>
                      <a:noFill/>
                    </a:ln>
                  </pic:spPr>
                </pic:pic>
              </a:graphicData>
            </a:graphic>
          </wp:inline>
        </w:drawing>
      </w:r>
      <w:r w:rsidRPr="00550C4A">
        <w:rPr>
          <w:rFonts w:ascii="Times New Roman" w:eastAsia="Times New Roman" w:hAnsi="Times New Roman" w:cs="Times New Roman"/>
          <w:sz w:val="24"/>
          <w:szCs w:val="24"/>
          <w:lang w:eastAsia="en-GB"/>
        </w:rPr>
        <w:fldChar w:fldCharType="end"/>
      </w:r>
    </w:p>
    <w:p w14:paraId="54996FC9" w14:textId="77777777" w:rsidR="00550C4A" w:rsidRDefault="00550C4A" w:rsidP="01B4EB0E">
      <w:pPr>
        <w:spacing w:line="270" w:lineRule="exact"/>
        <w:rPr>
          <w:rFonts w:eastAsiaTheme="minorEastAsia"/>
          <w:sz w:val="18"/>
          <w:szCs w:val="18"/>
        </w:rPr>
      </w:pPr>
    </w:p>
    <w:p w14:paraId="46CD0A1D" w14:textId="01890F35" w:rsidR="00CB75FA" w:rsidRDefault="58628188" w:rsidP="01B4EB0E">
      <w:pPr>
        <w:spacing w:line="270" w:lineRule="exact"/>
        <w:rPr>
          <w:rFonts w:eastAsiaTheme="minorEastAsia"/>
          <w:sz w:val="18"/>
          <w:szCs w:val="18"/>
        </w:rPr>
      </w:pPr>
      <w:r w:rsidRPr="01B4EB0E">
        <w:rPr>
          <w:rFonts w:eastAsiaTheme="minorEastAsia"/>
          <w:sz w:val="18"/>
          <w:szCs w:val="18"/>
        </w:rPr>
        <w:t>The HIV RNA levels close to delivery were &lt;300 copies in all but two patients. All children were HIV-1 negative.</w:t>
      </w:r>
    </w:p>
    <w:p w14:paraId="19C6450D" w14:textId="5D24D425" w:rsidR="00CB75FA" w:rsidRDefault="58628188" w:rsidP="01B4EB0E">
      <w:pPr>
        <w:spacing w:line="270" w:lineRule="exact"/>
        <w:rPr>
          <w:rFonts w:eastAsiaTheme="minorEastAsia"/>
          <w:sz w:val="18"/>
          <w:szCs w:val="18"/>
        </w:rPr>
      </w:pPr>
      <w:r w:rsidRPr="01B4EB0E">
        <w:rPr>
          <w:rFonts w:eastAsiaTheme="minorEastAsia"/>
          <w:sz w:val="18"/>
          <w:szCs w:val="18"/>
        </w:rPr>
        <w:t xml:space="preserve">In the IMPAACT P1026s study, the same doses were also </w:t>
      </w:r>
      <w:proofErr w:type="gramStart"/>
      <w:r w:rsidRPr="01B4EB0E">
        <w:rPr>
          <w:rFonts w:eastAsiaTheme="minorEastAsia"/>
          <w:sz w:val="18"/>
          <w:szCs w:val="18"/>
        </w:rPr>
        <w:t>employed</w:t>
      </w:r>
      <w:proofErr w:type="gramEnd"/>
      <w:r w:rsidRPr="01B4EB0E">
        <w:rPr>
          <w:rFonts w:eastAsiaTheme="minorEastAsia"/>
          <w:sz w:val="18"/>
          <w:szCs w:val="18"/>
        </w:rPr>
        <w:t xml:space="preserve"> and samples taken in the second and third trimester and postpartum. Darunavir AUC was reduced by 38% and 39% in the second and third trimesters respectively with QD dosing and 26% in both trimester for BID dosing.</w:t>
      </w:r>
    </w:p>
    <w:p w14:paraId="08ECCE23" w14:textId="50608765" w:rsidR="00CB75FA" w:rsidRDefault="58628188" w:rsidP="01B4EB0E">
      <w:pPr>
        <w:spacing w:line="270" w:lineRule="exact"/>
        <w:rPr>
          <w:rFonts w:eastAsiaTheme="minorEastAsia"/>
          <w:sz w:val="18"/>
          <w:szCs w:val="18"/>
        </w:rPr>
      </w:pPr>
      <w:r w:rsidRPr="01B4EB0E">
        <w:rPr>
          <w:rFonts w:eastAsiaTheme="minorEastAsia"/>
          <w:sz w:val="18"/>
          <w:szCs w:val="18"/>
        </w:rPr>
        <w:lastRenderedPageBreak/>
        <w:t xml:space="preserve">For women treated with800/100 mg QD, 19/30 had HIV RNA &lt;50 copies/ml at delivery, while 28/30 had &lt;400 copies/ml. For the women treated with 600/100 mg BID, 14/28 had HIV-1 RNA &lt;50 copies/ml, while 22/28 had &lt;400 </w:t>
      </w:r>
      <w:r w:rsidR="00165BDB">
        <w:rPr>
          <w:rFonts w:eastAsiaTheme="minorEastAsia"/>
          <w:sz w:val="18"/>
          <w:szCs w:val="18"/>
        </w:rPr>
        <w:fldChar w:fldCharType="begin"/>
      </w:r>
      <w:r w:rsidR="00165BDB">
        <w:rPr>
          <w:rFonts w:eastAsiaTheme="minorEastAsia"/>
          <w:sz w:val="18"/>
          <w:szCs w:val="18"/>
        </w:rPr>
        <w:instrText xml:space="preserve"> REF _Ref50462119 \h </w:instrText>
      </w:r>
      <w:r w:rsidR="00165BDB">
        <w:rPr>
          <w:rFonts w:eastAsiaTheme="minorEastAsia"/>
          <w:sz w:val="18"/>
          <w:szCs w:val="18"/>
        </w:rPr>
      </w:r>
      <w:r w:rsidR="00165BDB">
        <w:rPr>
          <w:rFonts w:eastAsiaTheme="minorEastAsia"/>
          <w:sz w:val="18"/>
          <w:szCs w:val="18"/>
        </w:rPr>
        <w:fldChar w:fldCharType="separate"/>
      </w:r>
      <w:r w:rsidR="00165BDB" w:rsidRPr="01B4EB0E">
        <w:t>Overall conclu</w:t>
      </w:r>
      <w:r w:rsidR="00165BDB" w:rsidRPr="01B4EB0E">
        <w:t>s</w:t>
      </w:r>
      <w:r w:rsidR="00165BDB" w:rsidRPr="01B4EB0E">
        <w:t>ion</w:t>
      </w:r>
      <w:r w:rsidR="00165BDB">
        <w:rPr>
          <w:rFonts w:eastAsiaTheme="minorEastAsia"/>
          <w:sz w:val="18"/>
          <w:szCs w:val="18"/>
        </w:rPr>
        <w:fldChar w:fldCharType="end"/>
      </w:r>
      <w:r w:rsidRPr="01B4EB0E">
        <w:rPr>
          <w:rFonts w:eastAsiaTheme="minorEastAsia"/>
          <w:sz w:val="18"/>
          <w:szCs w:val="18"/>
        </w:rPr>
        <w:t>.</w:t>
      </w:r>
    </w:p>
    <w:p w14:paraId="0FF17E68" w14:textId="10C6FA25" w:rsidR="00CB75FA" w:rsidRDefault="58628188" w:rsidP="01B4EB0E">
      <w:pPr>
        <w:spacing w:line="270" w:lineRule="exact"/>
        <w:rPr>
          <w:rFonts w:eastAsiaTheme="minorEastAsia"/>
          <w:sz w:val="18"/>
          <w:szCs w:val="18"/>
        </w:rPr>
      </w:pPr>
      <w:r w:rsidRPr="01B4EB0E">
        <w:rPr>
          <w:rFonts w:eastAsiaTheme="minorEastAsia"/>
          <w:sz w:val="18"/>
          <w:szCs w:val="18"/>
        </w:rPr>
        <w:t xml:space="preserve">The Dublin study (also </w:t>
      </w:r>
      <w:r w:rsidRPr="01B4EB0E">
        <w:rPr>
          <w:rFonts w:eastAsiaTheme="minorEastAsia"/>
          <w:b/>
          <w:bCs/>
          <w:sz w:val="18"/>
          <w:szCs w:val="18"/>
        </w:rPr>
        <w:t>**Lambert 2014**</w:t>
      </w:r>
      <w:r w:rsidRPr="01B4EB0E">
        <w:rPr>
          <w:rFonts w:eastAsiaTheme="minorEastAsia"/>
          <w:sz w:val="18"/>
          <w:szCs w:val="18"/>
        </w:rPr>
        <w:t xml:space="preserve">) utilised the same doses and utilised a sparse sampling approach, determining only </w:t>
      </w:r>
      <w:proofErr w:type="spellStart"/>
      <w:r w:rsidRPr="01B4EB0E">
        <w:rPr>
          <w:rFonts w:eastAsiaTheme="minorEastAsia"/>
          <w:sz w:val="18"/>
          <w:szCs w:val="18"/>
        </w:rPr>
        <w:t>Cmin</w:t>
      </w:r>
      <w:proofErr w:type="spellEnd"/>
      <w:r w:rsidRPr="01B4EB0E">
        <w:rPr>
          <w:rFonts w:eastAsiaTheme="minorEastAsia"/>
          <w:sz w:val="18"/>
          <w:szCs w:val="18"/>
        </w:rPr>
        <w:t xml:space="preserve"> in all trimesters and postpartum in 20 women. Darunavir (geometric mean; 95% CI) was 3790 ng/mL at T1 (n1); 1288 ng/mL (663-1913) at T2 (n9); 1086 ng/mL (745-1428) at T3 (n18, 1 undetectable) and 2324 ng/ mL (1369-3279) at PP (n14, 1 undetectable). There was no significant difference in [DRV] between T2 and PP (p0.158); however, there was between T3 and PP (p0.021). Nineteen of twenty (95%) and 16 of 20 (80%) women achieved [DRV] above the estimated MEC for WT (55 ng/mL) and PI resistant HIV-1 (550 ng/mL) throughout pregnancy. Eighteen of the 20 mothers had plasma HIV RNA suppression at delivery. There were no cases of mother to child transmissio</w:t>
      </w:r>
      <w:r w:rsidR="00347F24">
        <w:rPr>
          <w:rFonts w:eastAsiaTheme="minorEastAsia"/>
          <w:sz w:val="18"/>
          <w:szCs w:val="18"/>
        </w:rPr>
        <w:t>n.</w:t>
      </w:r>
    </w:p>
    <w:p w14:paraId="5131C539" w14:textId="0D644F71" w:rsidR="00CB75FA" w:rsidRDefault="00CB75FA" w:rsidP="01B4EB0E">
      <w:pPr>
        <w:spacing w:line="270" w:lineRule="exact"/>
        <w:rPr>
          <w:rFonts w:eastAsiaTheme="minorEastAsia"/>
          <w:sz w:val="18"/>
          <w:szCs w:val="18"/>
        </w:rPr>
      </w:pPr>
    </w:p>
    <w:tbl>
      <w:tblPr>
        <w:tblStyle w:val="TableGrid"/>
        <w:tblW w:w="0" w:type="auto"/>
        <w:tblLayout w:type="fixed"/>
        <w:tblLook w:val="06A0" w:firstRow="1" w:lastRow="0" w:firstColumn="1" w:lastColumn="0" w:noHBand="1" w:noVBand="1"/>
      </w:tblPr>
      <w:tblGrid>
        <w:gridCol w:w="1935"/>
        <w:gridCol w:w="825"/>
        <w:gridCol w:w="585"/>
        <w:gridCol w:w="705"/>
        <w:gridCol w:w="1125"/>
        <w:gridCol w:w="1170"/>
      </w:tblGrid>
      <w:tr w:rsidR="01B4EB0E" w14:paraId="55EE3391" w14:textId="77777777" w:rsidTr="01B4EB0E">
        <w:trPr>
          <w:trHeight w:val="285"/>
        </w:trPr>
        <w:tc>
          <w:tcPr>
            <w:tcW w:w="3345" w:type="dxa"/>
            <w:gridSpan w:val="3"/>
            <w:tcBorders>
              <w:top w:val="single" w:sz="8" w:space="0" w:color="auto"/>
              <w:left w:val="single" w:sz="8" w:space="0" w:color="auto"/>
              <w:bottom w:val="single" w:sz="8" w:space="0" w:color="auto"/>
              <w:right w:val="nil"/>
            </w:tcBorders>
            <w:vAlign w:val="center"/>
          </w:tcPr>
          <w:p w14:paraId="0906DF22" w14:textId="1FFBDC39" w:rsidR="01B4EB0E" w:rsidRDefault="01B4EB0E" w:rsidP="01B4EB0E">
            <w:pPr>
              <w:jc w:val="center"/>
            </w:pPr>
            <w:r w:rsidRPr="01B4EB0E">
              <w:rPr>
                <w:rFonts w:ascii="Calibri" w:eastAsia="Calibri" w:hAnsi="Calibri" w:cs="Calibri"/>
                <w:b/>
                <w:bCs/>
                <w:color w:val="000000" w:themeColor="text1"/>
                <w:sz w:val="18"/>
                <w:szCs w:val="18"/>
              </w:rPr>
              <w:t>Summary Statistics</w:t>
            </w:r>
          </w:p>
        </w:tc>
        <w:tc>
          <w:tcPr>
            <w:tcW w:w="3000" w:type="dxa"/>
            <w:gridSpan w:val="3"/>
            <w:tcBorders>
              <w:top w:val="single" w:sz="8" w:space="0" w:color="auto"/>
              <w:left w:val="single" w:sz="8" w:space="0" w:color="auto"/>
              <w:bottom w:val="single" w:sz="8" w:space="0" w:color="auto"/>
              <w:right w:val="single" w:sz="8" w:space="0" w:color="auto"/>
            </w:tcBorders>
            <w:vAlign w:val="bottom"/>
          </w:tcPr>
          <w:p w14:paraId="41929EC9" w14:textId="1704B510" w:rsidR="01B4EB0E" w:rsidRDefault="01B4EB0E" w:rsidP="01B4EB0E">
            <w:pPr>
              <w:jc w:val="center"/>
            </w:pPr>
            <w:r w:rsidRPr="01B4EB0E">
              <w:rPr>
                <w:rFonts w:ascii="Calibri" w:eastAsia="Calibri" w:hAnsi="Calibri" w:cs="Calibri"/>
                <w:b/>
                <w:bCs/>
                <w:color w:val="000000" w:themeColor="text1"/>
                <w:sz w:val="16"/>
                <w:szCs w:val="16"/>
              </w:rPr>
              <w:t>Mean</w:t>
            </w:r>
          </w:p>
        </w:tc>
      </w:tr>
      <w:tr w:rsidR="01B4EB0E" w14:paraId="5B00B2D8" w14:textId="77777777" w:rsidTr="01B4EB0E">
        <w:trPr>
          <w:trHeight w:val="285"/>
        </w:trPr>
        <w:tc>
          <w:tcPr>
            <w:tcW w:w="1935" w:type="dxa"/>
            <w:tcBorders>
              <w:top w:val="single" w:sz="8" w:space="0" w:color="auto"/>
              <w:left w:val="single" w:sz="8" w:space="0" w:color="auto"/>
              <w:bottom w:val="single" w:sz="8" w:space="0" w:color="auto"/>
              <w:right w:val="single" w:sz="8" w:space="0" w:color="auto"/>
            </w:tcBorders>
            <w:vAlign w:val="bottom"/>
          </w:tcPr>
          <w:p w14:paraId="7F121E3E" w14:textId="561AE5C4" w:rsidR="01B4EB0E" w:rsidRDefault="01B4EB0E">
            <w:r w:rsidRPr="01B4EB0E">
              <w:rPr>
                <w:rFonts w:ascii="Calibri" w:eastAsia="Calibri" w:hAnsi="Calibri" w:cs="Calibri"/>
                <w:b/>
                <w:bCs/>
                <w:color w:val="000000" w:themeColor="text1"/>
                <w:sz w:val="16"/>
                <w:szCs w:val="16"/>
              </w:rPr>
              <w:t xml:space="preserve"> </w:t>
            </w:r>
          </w:p>
        </w:tc>
        <w:tc>
          <w:tcPr>
            <w:tcW w:w="825" w:type="dxa"/>
            <w:tcBorders>
              <w:top w:val="nil"/>
              <w:left w:val="single" w:sz="8" w:space="0" w:color="auto"/>
              <w:bottom w:val="single" w:sz="8" w:space="0" w:color="auto"/>
              <w:right w:val="single" w:sz="8" w:space="0" w:color="auto"/>
            </w:tcBorders>
            <w:vAlign w:val="bottom"/>
          </w:tcPr>
          <w:p w14:paraId="03C823F5" w14:textId="24943CB3" w:rsidR="01B4EB0E" w:rsidRDefault="01B4EB0E">
            <w:r w:rsidRPr="01B4EB0E">
              <w:rPr>
                <w:rFonts w:ascii="Calibri" w:eastAsia="Calibri" w:hAnsi="Calibri" w:cs="Calibri"/>
                <w:b/>
                <w:bCs/>
                <w:color w:val="000000" w:themeColor="text1"/>
                <w:sz w:val="16"/>
                <w:szCs w:val="16"/>
              </w:rPr>
              <w:t>From (h)</w:t>
            </w:r>
          </w:p>
        </w:tc>
        <w:tc>
          <w:tcPr>
            <w:tcW w:w="585" w:type="dxa"/>
            <w:tcBorders>
              <w:top w:val="nil"/>
              <w:left w:val="single" w:sz="8" w:space="0" w:color="auto"/>
              <w:bottom w:val="single" w:sz="8" w:space="0" w:color="auto"/>
              <w:right w:val="single" w:sz="8" w:space="0" w:color="auto"/>
            </w:tcBorders>
            <w:vAlign w:val="bottom"/>
          </w:tcPr>
          <w:p w14:paraId="36101BC0" w14:textId="0887ACE8" w:rsidR="01B4EB0E" w:rsidRDefault="01B4EB0E">
            <w:r w:rsidRPr="01B4EB0E">
              <w:rPr>
                <w:rFonts w:ascii="Calibri" w:eastAsia="Calibri" w:hAnsi="Calibri" w:cs="Calibri"/>
                <w:b/>
                <w:bCs/>
                <w:color w:val="000000" w:themeColor="text1"/>
                <w:sz w:val="16"/>
                <w:szCs w:val="16"/>
              </w:rPr>
              <w:t>To (h)</w:t>
            </w:r>
          </w:p>
        </w:tc>
        <w:tc>
          <w:tcPr>
            <w:tcW w:w="705" w:type="dxa"/>
            <w:tcBorders>
              <w:top w:val="single" w:sz="8" w:space="0" w:color="auto"/>
              <w:left w:val="single" w:sz="8" w:space="0" w:color="auto"/>
              <w:bottom w:val="single" w:sz="8" w:space="0" w:color="auto"/>
              <w:right w:val="single" w:sz="8" w:space="0" w:color="auto"/>
            </w:tcBorders>
            <w:vAlign w:val="bottom"/>
          </w:tcPr>
          <w:p w14:paraId="7A03A87F" w14:textId="54F7A046" w:rsidR="01B4EB0E" w:rsidRDefault="01B4EB0E">
            <w:proofErr w:type="spellStart"/>
            <w:r w:rsidRPr="01B4EB0E">
              <w:rPr>
                <w:rFonts w:ascii="Calibri" w:eastAsia="Calibri" w:hAnsi="Calibri" w:cs="Calibri"/>
                <w:b/>
                <w:bCs/>
                <w:color w:val="000000" w:themeColor="text1"/>
                <w:sz w:val="16"/>
                <w:szCs w:val="16"/>
              </w:rPr>
              <w:t>TMax</w:t>
            </w:r>
            <w:proofErr w:type="spellEnd"/>
            <w:r w:rsidRPr="01B4EB0E">
              <w:rPr>
                <w:rFonts w:ascii="Calibri" w:eastAsia="Calibri" w:hAnsi="Calibri" w:cs="Calibri"/>
                <w:b/>
                <w:bCs/>
                <w:color w:val="000000" w:themeColor="text1"/>
                <w:sz w:val="16"/>
                <w:szCs w:val="16"/>
              </w:rPr>
              <w:t xml:space="preserve"> (h)</w:t>
            </w:r>
          </w:p>
        </w:tc>
        <w:tc>
          <w:tcPr>
            <w:tcW w:w="1125" w:type="dxa"/>
            <w:tcBorders>
              <w:top w:val="nil"/>
              <w:left w:val="single" w:sz="8" w:space="0" w:color="auto"/>
              <w:bottom w:val="single" w:sz="8" w:space="0" w:color="auto"/>
              <w:right w:val="single" w:sz="8" w:space="0" w:color="auto"/>
            </w:tcBorders>
            <w:vAlign w:val="bottom"/>
          </w:tcPr>
          <w:p w14:paraId="222BBF4B" w14:textId="40376A56" w:rsidR="01B4EB0E" w:rsidRDefault="01B4EB0E">
            <w:proofErr w:type="spellStart"/>
            <w:r w:rsidRPr="01B4EB0E">
              <w:rPr>
                <w:rFonts w:ascii="Calibri" w:eastAsia="Calibri" w:hAnsi="Calibri" w:cs="Calibri"/>
                <w:b/>
                <w:bCs/>
                <w:color w:val="000000" w:themeColor="text1"/>
                <w:sz w:val="16"/>
                <w:szCs w:val="16"/>
              </w:rPr>
              <w:t>CMax</w:t>
            </w:r>
            <w:proofErr w:type="spellEnd"/>
            <w:r w:rsidRPr="01B4EB0E">
              <w:rPr>
                <w:rFonts w:ascii="Calibri" w:eastAsia="Calibri" w:hAnsi="Calibri" w:cs="Calibri"/>
                <w:b/>
                <w:bCs/>
                <w:color w:val="000000" w:themeColor="text1"/>
                <w:sz w:val="16"/>
                <w:szCs w:val="16"/>
              </w:rPr>
              <w:t xml:space="preserve"> (ng/mL)</w:t>
            </w:r>
          </w:p>
        </w:tc>
        <w:tc>
          <w:tcPr>
            <w:tcW w:w="1170" w:type="dxa"/>
            <w:tcBorders>
              <w:top w:val="nil"/>
              <w:left w:val="single" w:sz="8" w:space="0" w:color="auto"/>
              <w:bottom w:val="single" w:sz="8" w:space="0" w:color="auto"/>
              <w:right w:val="single" w:sz="8" w:space="0" w:color="auto"/>
            </w:tcBorders>
            <w:vAlign w:val="bottom"/>
          </w:tcPr>
          <w:p w14:paraId="43363CB3" w14:textId="680C7F76" w:rsidR="01B4EB0E" w:rsidRDefault="01B4EB0E">
            <w:r w:rsidRPr="01B4EB0E">
              <w:rPr>
                <w:rFonts w:ascii="Calibri" w:eastAsia="Calibri" w:hAnsi="Calibri" w:cs="Calibri"/>
                <w:b/>
                <w:bCs/>
                <w:color w:val="000000" w:themeColor="text1"/>
                <w:sz w:val="16"/>
                <w:szCs w:val="16"/>
              </w:rPr>
              <w:t>AUC (ng/</w:t>
            </w:r>
            <w:proofErr w:type="spellStart"/>
            <w:r w:rsidRPr="01B4EB0E">
              <w:rPr>
                <w:rFonts w:ascii="Calibri" w:eastAsia="Calibri" w:hAnsi="Calibri" w:cs="Calibri"/>
                <w:b/>
                <w:bCs/>
                <w:color w:val="000000" w:themeColor="text1"/>
                <w:sz w:val="16"/>
                <w:szCs w:val="16"/>
              </w:rPr>
              <w:t>mL.h</w:t>
            </w:r>
            <w:proofErr w:type="spellEnd"/>
            <w:r w:rsidRPr="01B4EB0E">
              <w:rPr>
                <w:rFonts w:ascii="Calibri" w:eastAsia="Calibri" w:hAnsi="Calibri" w:cs="Calibri"/>
                <w:b/>
                <w:bCs/>
                <w:color w:val="000000" w:themeColor="text1"/>
                <w:sz w:val="16"/>
                <w:szCs w:val="16"/>
              </w:rPr>
              <w:t>)</w:t>
            </w:r>
          </w:p>
        </w:tc>
      </w:tr>
      <w:tr w:rsidR="01B4EB0E" w14:paraId="4E57F70B" w14:textId="77777777" w:rsidTr="01B4EB0E">
        <w:trPr>
          <w:trHeight w:val="285"/>
        </w:trPr>
        <w:tc>
          <w:tcPr>
            <w:tcW w:w="1935" w:type="dxa"/>
            <w:tcBorders>
              <w:top w:val="single" w:sz="8" w:space="0" w:color="auto"/>
              <w:left w:val="single" w:sz="8" w:space="0" w:color="auto"/>
              <w:bottom w:val="single" w:sz="8" w:space="0" w:color="auto"/>
              <w:right w:val="single" w:sz="8" w:space="0" w:color="auto"/>
            </w:tcBorders>
            <w:vAlign w:val="bottom"/>
          </w:tcPr>
          <w:p w14:paraId="1D3CBF91" w14:textId="1560A095" w:rsidR="01B4EB0E" w:rsidRDefault="01B4EB0E">
            <w:proofErr w:type="spellStart"/>
            <w:r w:rsidRPr="01B4EB0E">
              <w:rPr>
                <w:rFonts w:ascii="Calibri" w:eastAsia="Calibri" w:hAnsi="Calibri" w:cs="Calibri"/>
                <w:b/>
                <w:bCs/>
                <w:color w:val="000000" w:themeColor="text1"/>
                <w:sz w:val="16"/>
                <w:szCs w:val="16"/>
              </w:rPr>
              <w:t>CBlood</w:t>
            </w:r>
            <w:proofErr w:type="spellEnd"/>
            <w:r w:rsidRPr="01B4EB0E">
              <w:rPr>
                <w:rFonts w:ascii="Calibri" w:eastAsia="Calibri" w:hAnsi="Calibri" w:cs="Calibri"/>
                <w:b/>
                <w:bCs/>
                <w:color w:val="000000" w:themeColor="text1"/>
                <w:sz w:val="16"/>
                <w:szCs w:val="16"/>
              </w:rPr>
              <w:t xml:space="preserve"> (ng/mL)</w:t>
            </w:r>
          </w:p>
        </w:tc>
        <w:tc>
          <w:tcPr>
            <w:tcW w:w="825" w:type="dxa"/>
            <w:tcBorders>
              <w:top w:val="single" w:sz="8" w:space="0" w:color="auto"/>
              <w:left w:val="single" w:sz="8" w:space="0" w:color="auto"/>
              <w:bottom w:val="single" w:sz="8" w:space="0" w:color="auto"/>
              <w:right w:val="single" w:sz="8" w:space="0" w:color="auto"/>
            </w:tcBorders>
            <w:vAlign w:val="center"/>
          </w:tcPr>
          <w:p w14:paraId="478C7C62" w14:textId="77A8B448" w:rsidR="01B4EB0E" w:rsidRDefault="01B4EB0E" w:rsidP="01B4EB0E">
            <w:pPr>
              <w:jc w:val="center"/>
            </w:pPr>
            <w:r w:rsidRPr="01B4EB0E">
              <w:rPr>
                <w:rFonts w:ascii="Calibri" w:eastAsia="Calibri" w:hAnsi="Calibri" w:cs="Calibri"/>
                <w:color w:val="000000" w:themeColor="text1"/>
                <w:sz w:val="16"/>
                <w:szCs w:val="16"/>
              </w:rPr>
              <w:t>0.00</w:t>
            </w:r>
          </w:p>
        </w:tc>
        <w:tc>
          <w:tcPr>
            <w:tcW w:w="585" w:type="dxa"/>
            <w:tcBorders>
              <w:top w:val="single" w:sz="8" w:space="0" w:color="auto"/>
              <w:left w:val="single" w:sz="8" w:space="0" w:color="auto"/>
              <w:bottom w:val="single" w:sz="8" w:space="0" w:color="auto"/>
              <w:right w:val="single" w:sz="8" w:space="0" w:color="auto"/>
            </w:tcBorders>
            <w:vAlign w:val="center"/>
          </w:tcPr>
          <w:p w14:paraId="5C40FE9B" w14:textId="28492AE3" w:rsidR="01B4EB0E" w:rsidRDefault="01B4EB0E" w:rsidP="01B4EB0E">
            <w:pPr>
              <w:jc w:val="center"/>
            </w:pPr>
            <w:r w:rsidRPr="01B4EB0E">
              <w:rPr>
                <w:rFonts w:ascii="Calibri" w:eastAsia="Calibri" w:hAnsi="Calibri" w:cs="Calibri"/>
                <w:color w:val="000000" w:themeColor="text1"/>
                <w:sz w:val="16"/>
                <w:szCs w:val="16"/>
              </w:rPr>
              <w:t>96.00</w:t>
            </w:r>
          </w:p>
        </w:tc>
        <w:tc>
          <w:tcPr>
            <w:tcW w:w="705" w:type="dxa"/>
            <w:tcBorders>
              <w:top w:val="single" w:sz="8" w:space="0" w:color="auto"/>
              <w:left w:val="single" w:sz="8" w:space="0" w:color="auto"/>
              <w:bottom w:val="single" w:sz="8" w:space="0" w:color="auto"/>
              <w:right w:val="single" w:sz="8" w:space="0" w:color="auto"/>
            </w:tcBorders>
            <w:vAlign w:val="center"/>
          </w:tcPr>
          <w:p w14:paraId="5E4C7A5F" w14:textId="3E302514" w:rsidR="01B4EB0E" w:rsidRDefault="01B4EB0E" w:rsidP="01B4EB0E">
            <w:pPr>
              <w:jc w:val="center"/>
            </w:pPr>
            <w:r w:rsidRPr="01B4EB0E">
              <w:rPr>
                <w:rFonts w:ascii="Calibri" w:eastAsia="Calibri" w:hAnsi="Calibri" w:cs="Calibri"/>
                <w:color w:val="000000" w:themeColor="text1"/>
                <w:sz w:val="16"/>
                <w:szCs w:val="16"/>
              </w:rPr>
              <w:t>0.96</w:t>
            </w:r>
          </w:p>
        </w:tc>
        <w:tc>
          <w:tcPr>
            <w:tcW w:w="1125" w:type="dxa"/>
            <w:tcBorders>
              <w:top w:val="single" w:sz="8" w:space="0" w:color="auto"/>
              <w:left w:val="single" w:sz="8" w:space="0" w:color="auto"/>
              <w:bottom w:val="single" w:sz="8" w:space="0" w:color="auto"/>
              <w:right w:val="single" w:sz="8" w:space="0" w:color="auto"/>
            </w:tcBorders>
            <w:vAlign w:val="center"/>
          </w:tcPr>
          <w:p w14:paraId="6D824F90" w14:textId="586E5B84" w:rsidR="01B4EB0E" w:rsidRDefault="01B4EB0E" w:rsidP="01B4EB0E">
            <w:pPr>
              <w:jc w:val="center"/>
            </w:pPr>
            <w:r w:rsidRPr="01B4EB0E">
              <w:rPr>
                <w:rFonts w:ascii="Calibri" w:eastAsia="Calibri" w:hAnsi="Calibri" w:cs="Calibri"/>
                <w:color w:val="000000" w:themeColor="text1"/>
                <w:sz w:val="16"/>
                <w:szCs w:val="16"/>
              </w:rPr>
              <w:t>1.08E+01</w:t>
            </w:r>
          </w:p>
        </w:tc>
        <w:tc>
          <w:tcPr>
            <w:tcW w:w="1170" w:type="dxa"/>
            <w:tcBorders>
              <w:top w:val="single" w:sz="8" w:space="0" w:color="auto"/>
              <w:left w:val="single" w:sz="8" w:space="0" w:color="auto"/>
              <w:bottom w:val="single" w:sz="8" w:space="0" w:color="auto"/>
              <w:right w:val="single" w:sz="8" w:space="0" w:color="auto"/>
            </w:tcBorders>
            <w:vAlign w:val="center"/>
          </w:tcPr>
          <w:p w14:paraId="4557FC00" w14:textId="5A48EC3C" w:rsidR="01B4EB0E" w:rsidRDefault="01B4EB0E" w:rsidP="01B4EB0E">
            <w:pPr>
              <w:jc w:val="center"/>
            </w:pPr>
            <w:r w:rsidRPr="01B4EB0E">
              <w:rPr>
                <w:rFonts w:ascii="Calibri" w:eastAsia="Calibri" w:hAnsi="Calibri" w:cs="Calibri"/>
                <w:color w:val="000000" w:themeColor="text1"/>
                <w:sz w:val="16"/>
                <w:szCs w:val="16"/>
              </w:rPr>
              <w:t>5.03E+01</w:t>
            </w:r>
          </w:p>
        </w:tc>
      </w:tr>
    </w:tbl>
    <w:p w14:paraId="0197B63A" w14:textId="0CA059CE" w:rsidR="00CB75FA" w:rsidRDefault="00CB75FA" w:rsidP="01B4EB0E">
      <w:pPr>
        <w:spacing w:line="270" w:lineRule="exact"/>
        <w:rPr>
          <w:rFonts w:eastAsiaTheme="minorEastAsia"/>
        </w:rPr>
      </w:pPr>
      <w:r>
        <w:br/>
      </w:r>
    </w:p>
    <w:p w14:paraId="10A90D8D" w14:textId="73007760" w:rsidR="00CB75FA" w:rsidRDefault="58628188" w:rsidP="01B4EB0E">
      <w:pPr>
        <w:pStyle w:val="Heading2"/>
        <w:rPr>
          <w:rFonts w:asciiTheme="minorHAnsi" w:eastAsiaTheme="minorEastAsia" w:hAnsiTheme="minorHAnsi" w:cstheme="minorBidi"/>
          <w:color w:val="auto"/>
          <w:sz w:val="18"/>
          <w:szCs w:val="18"/>
        </w:rPr>
      </w:pPr>
      <w:bookmarkStart w:id="0" w:name="_Ref50462119"/>
      <w:r w:rsidRPr="01B4EB0E">
        <w:t>Overall conclusion</w:t>
      </w:r>
      <w:bookmarkEnd w:id="0"/>
    </w:p>
    <w:p w14:paraId="21C74FDF" w14:textId="7D4CE0CE" w:rsidR="00CB75FA" w:rsidRDefault="58628188" w:rsidP="01B4EB0E">
      <w:pPr>
        <w:spacing w:line="270" w:lineRule="exact"/>
        <w:rPr>
          <w:rFonts w:eastAsiaTheme="minorEastAsia"/>
          <w:sz w:val="18"/>
          <w:szCs w:val="18"/>
        </w:rPr>
      </w:pPr>
      <w:r w:rsidRPr="01B4EB0E">
        <w:rPr>
          <w:rFonts w:eastAsiaTheme="minorEastAsia"/>
          <w:sz w:val="18"/>
          <w:szCs w:val="18"/>
        </w:rPr>
        <w:t>Lower AUCs and troughs for both darunavir and ritonavir are documented in pregnancy, however when measured, protein binding is also seen to decrease, resulting in less difference in free concentrations. Exposure is similar across second and third trimesters but there is very limited data in the first trimester. In most cases, sufficient concentrations are maintained for efficacy</w:t>
      </w:r>
      <w:sdt>
        <w:sdtPr>
          <w:rPr>
            <w:rFonts w:eastAsiaTheme="minorEastAsia"/>
            <w:sz w:val="18"/>
            <w:szCs w:val="18"/>
          </w:rPr>
          <w:id w:val="517748966"/>
          <w:citation/>
        </w:sdtPr>
        <w:sdtContent>
          <w:r w:rsidR="00347F24">
            <w:rPr>
              <w:rFonts w:eastAsiaTheme="minorEastAsia"/>
              <w:sz w:val="18"/>
              <w:szCs w:val="18"/>
            </w:rPr>
            <w:fldChar w:fldCharType="begin"/>
          </w:r>
          <w:r w:rsidR="00347F24">
            <w:rPr>
              <w:rFonts w:eastAsiaTheme="minorEastAsia"/>
              <w:sz w:val="18"/>
              <w:szCs w:val="18"/>
            </w:rPr>
            <w:instrText xml:space="preserve"> CITATION Yah \l 2057 </w:instrText>
          </w:r>
          <w:r w:rsidR="00347F24">
            <w:rPr>
              <w:rFonts w:eastAsiaTheme="minorEastAsia"/>
              <w:sz w:val="18"/>
              <w:szCs w:val="18"/>
            </w:rPr>
            <w:fldChar w:fldCharType="separate"/>
          </w:r>
          <w:r w:rsidR="00165BDB">
            <w:rPr>
              <w:rFonts w:eastAsiaTheme="minorEastAsia"/>
              <w:noProof/>
              <w:sz w:val="18"/>
              <w:szCs w:val="18"/>
            </w:rPr>
            <w:t xml:space="preserve"> </w:t>
          </w:r>
          <w:r w:rsidR="00165BDB" w:rsidRPr="00165BDB">
            <w:rPr>
              <w:rFonts w:eastAsiaTheme="minorEastAsia"/>
              <w:noProof/>
              <w:sz w:val="18"/>
              <w:szCs w:val="18"/>
            </w:rPr>
            <w:t>[1]</w:t>
          </w:r>
          <w:r w:rsidR="00347F24">
            <w:rPr>
              <w:rFonts w:eastAsiaTheme="minorEastAsia"/>
              <w:sz w:val="18"/>
              <w:szCs w:val="18"/>
            </w:rPr>
            <w:fldChar w:fldCharType="end"/>
          </w:r>
        </w:sdtContent>
      </w:sdt>
      <w:r w:rsidRPr="01B4EB0E">
        <w:rPr>
          <w:rFonts w:eastAsiaTheme="minorEastAsia"/>
          <w:sz w:val="18"/>
          <w:szCs w:val="18"/>
        </w:rPr>
        <w:t>.</w:t>
      </w:r>
    </w:p>
    <w:p w14:paraId="583FDE24" w14:textId="0993A5E6" w:rsidR="00CB75FA" w:rsidRDefault="58628188" w:rsidP="01B4EB0E">
      <w:pPr>
        <w:spacing w:line="270" w:lineRule="exact"/>
        <w:rPr>
          <w:rFonts w:eastAsiaTheme="minorEastAsia"/>
          <w:sz w:val="18"/>
          <w:szCs w:val="18"/>
        </w:rPr>
      </w:pPr>
      <w:r w:rsidRPr="01B4EB0E">
        <w:rPr>
          <w:rFonts w:eastAsiaTheme="minorEastAsia"/>
          <w:sz w:val="18"/>
          <w:szCs w:val="18"/>
        </w:rPr>
        <w:t>It has been proposed that the higher frequency BID dosing could be beneficial in pregnant women.</w:t>
      </w:r>
    </w:p>
    <w:sdt>
      <w:sdtPr>
        <w:id w:val="22670134"/>
        <w:docPartObj>
          <w:docPartGallery w:val="Bibliographies"/>
          <w:docPartUnique/>
        </w:docPartObj>
      </w:sdtPr>
      <w:sdtEndPr>
        <w:rPr>
          <w:rFonts w:asciiTheme="minorHAnsi" w:eastAsiaTheme="minorHAnsi" w:hAnsiTheme="minorHAnsi" w:cstheme="minorBidi"/>
          <w:color w:val="auto"/>
          <w:sz w:val="22"/>
          <w:szCs w:val="22"/>
        </w:rPr>
      </w:sdtEndPr>
      <w:sdtContent>
        <w:p w14:paraId="5A8558C2" w14:textId="0BC0DB5F" w:rsidR="00347F24" w:rsidRDefault="00347F24">
          <w:pPr>
            <w:pStyle w:val="Heading1"/>
          </w:pPr>
          <w:r>
            <w:t>Bibliography</w:t>
          </w:r>
        </w:p>
        <w:sdt>
          <w:sdtPr>
            <w:id w:val="111145805"/>
            <w:bibliography/>
          </w:sdtPr>
          <w:sdtContent>
            <w:p w14:paraId="6045F9A8" w14:textId="77777777" w:rsidR="00165BDB" w:rsidRDefault="00347F24" w:rsidP="00165BDB">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165BDB" w14:paraId="4AA6CB15" w14:textId="77777777">
                <w:trPr>
                  <w:divId w:val="1216770897"/>
                  <w:tblCellSpacing w:w="15" w:type="dxa"/>
                </w:trPr>
                <w:tc>
                  <w:tcPr>
                    <w:tcW w:w="50" w:type="pct"/>
                    <w:hideMark/>
                  </w:tcPr>
                  <w:p w14:paraId="09B5B18C" w14:textId="0B8AA0C2" w:rsidR="00165BDB" w:rsidRDefault="00165BDB">
                    <w:pPr>
                      <w:pStyle w:val="Bibliography"/>
                      <w:rPr>
                        <w:noProof/>
                        <w:sz w:val="24"/>
                        <w:szCs w:val="24"/>
                      </w:rPr>
                    </w:pPr>
                    <w:r>
                      <w:rPr>
                        <w:noProof/>
                      </w:rPr>
                      <w:t xml:space="preserve">[1] </w:t>
                    </w:r>
                  </w:p>
                </w:tc>
                <w:tc>
                  <w:tcPr>
                    <w:tcW w:w="0" w:type="auto"/>
                    <w:hideMark/>
                  </w:tcPr>
                  <w:p w14:paraId="1A6909B9" w14:textId="77777777" w:rsidR="00165BDB" w:rsidRDefault="00165BDB">
                    <w:pPr>
                      <w:pStyle w:val="Bibliography"/>
                      <w:rPr>
                        <w:noProof/>
                      </w:rPr>
                    </w:pPr>
                    <w:r>
                      <w:rPr>
                        <w:noProof/>
                      </w:rPr>
                      <w:t>“Yahoo,” [Online]. Available: https://yahoo.com.</w:t>
                    </w:r>
                  </w:p>
                </w:tc>
              </w:tr>
            </w:tbl>
            <w:p w14:paraId="7BC9CC67" w14:textId="77777777" w:rsidR="00165BDB" w:rsidRDefault="00165BDB">
              <w:pPr>
                <w:divId w:val="1216770897"/>
                <w:rPr>
                  <w:rFonts w:eastAsia="Times New Roman"/>
                  <w:noProof/>
                </w:rPr>
              </w:pPr>
            </w:p>
            <w:p w14:paraId="48AB0043" w14:textId="1D561DC5" w:rsidR="00347F24" w:rsidRDefault="00347F24" w:rsidP="00165BDB">
              <w:r>
                <w:rPr>
                  <w:b/>
                  <w:bCs/>
                  <w:noProof/>
                </w:rPr>
                <w:fldChar w:fldCharType="end"/>
              </w:r>
            </w:p>
          </w:sdtContent>
        </w:sdt>
      </w:sdtContent>
    </w:sdt>
    <w:p w14:paraId="7EF20377" w14:textId="1FA14023" w:rsidR="00CB75FA" w:rsidRDefault="00CB75FA" w:rsidP="01B4EB0E">
      <w:pPr>
        <w:spacing w:line="270" w:lineRule="exact"/>
        <w:rPr>
          <w:rFonts w:eastAsiaTheme="minorEastAsia"/>
        </w:rPr>
      </w:pPr>
      <w:r>
        <w:br/>
      </w:r>
    </w:p>
    <w:p w14:paraId="4CBB8702" w14:textId="2CD2BD7C" w:rsidR="00CB75FA" w:rsidRDefault="00CB75FA" w:rsidP="01B4EB0E">
      <w:pPr>
        <w:rPr>
          <w:rFonts w:eastAsiaTheme="minorEastAsia"/>
        </w:rPr>
      </w:pPr>
    </w:p>
    <w:sectPr w:rsidR="00CB75F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C1FFEA" w14:textId="77777777" w:rsidR="0007355F" w:rsidRDefault="0007355F">
      <w:pPr>
        <w:spacing w:after="0" w:line="240" w:lineRule="auto"/>
      </w:pPr>
      <w:r>
        <w:separator/>
      </w:r>
    </w:p>
  </w:endnote>
  <w:endnote w:type="continuationSeparator" w:id="0">
    <w:p w14:paraId="574FBF35" w14:textId="77777777" w:rsidR="0007355F" w:rsidRDefault="000735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5354B0" w14:textId="77777777" w:rsidR="0007355F" w:rsidRDefault="0007355F">
      <w:pPr>
        <w:spacing w:after="0" w:line="240" w:lineRule="auto"/>
      </w:pPr>
      <w:r>
        <w:separator/>
      </w:r>
    </w:p>
  </w:footnote>
  <w:footnote w:type="continuationSeparator" w:id="0">
    <w:p w14:paraId="0D2F510D" w14:textId="77777777" w:rsidR="0007355F" w:rsidRDefault="000735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4A5695"/>
    <w:multiLevelType w:val="hybridMultilevel"/>
    <w:tmpl w:val="6D609C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68477C1"/>
    <w:multiLevelType w:val="hybridMultilevel"/>
    <w:tmpl w:val="341A19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3C2"/>
    <w:rsid w:val="0007355F"/>
    <w:rsid w:val="000F31D7"/>
    <w:rsid w:val="001466E6"/>
    <w:rsid w:val="00165BDB"/>
    <w:rsid w:val="001E1773"/>
    <w:rsid w:val="001F45E7"/>
    <w:rsid w:val="00284AB9"/>
    <w:rsid w:val="00347F24"/>
    <w:rsid w:val="00550C4A"/>
    <w:rsid w:val="0055318A"/>
    <w:rsid w:val="0058291C"/>
    <w:rsid w:val="005A2935"/>
    <w:rsid w:val="006554D1"/>
    <w:rsid w:val="00755E7B"/>
    <w:rsid w:val="00814FAA"/>
    <w:rsid w:val="00A513C2"/>
    <w:rsid w:val="00A6667D"/>
    <w:rsid w:val="00BB2A7B"/>
    <w:rsid w:val="00CB75FA"/>
    <w:rsid w:val="00DC61B9"/>
    <w:rsid w:val="00F54C98"/>
    <w:rsid w:val="018F48D4"/>
    <w:rsid w:val="01B4EB0E"/>
    <w:rsid w:val="2189772A"/>
    <w:rsid w:val="2385BD12"/>
    <w:rsid w:val="3A4A1C76"/>
    <w:rsid w:val="4E913B5B"/>
    <w:rsid w:val="58628188"/>
    <w:rsid w:val="5CD52AE2"/>
    <w:rsid w:val="5EC379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4817C"/>
  <w15:chartTrackingRefBased/>
  <w15:docId w15:val="{05369D3A-36CC-40D0-B6E3-29ACFBBBF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13C2"/>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51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513C2"/>
    <w:rPr>
      <w:color w:val="0563C1" w:themeColor="hyperlink"/>
      <w:u w:val="single"/>
    </w:rPr>
  </w:style>
  <w:style w:type="paragraph" w:styleId="ListParagraph">
    <w:name w:val="List Paragraph"/>
    <w:basedOn w:val="Normal"/>
    <w:uiPriority w:val="34"/>
    <w:qFormat/>
    <w:rsid w:val="00A513C2"/>
    <w:pPr>
      <w:ind w:left="720"/>
      <w:contextualSpacing/>
    </w:pPr>
  </w:style>
  <w:style w:type="paragraph" w:styleId="BalloonText">
    <w:name w:val="Balloon Text"/>
    <w:basedOn w:val="Normal"/>
    <w:link w:val="BalloonTextChar"/>
    <w:uiPriority w:val="99"/>
    <w:semiHidden/>
    <w:unhideWhenUsed/>
    <w:rsid w:val="00284A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4AB9"/>
    <w:rPr>
      <w:rFonts w:ascii="Segoe UI" w:hAnsi="Segoe UI" w:cs="Segoe UI"/>
      <w:sz w:val="18"/>
      <w:szCs w:val="1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styleId="EndnoteReference">
    <w:name w:val="endnote reference"/>
    <w:basedOn w:val="DefaultParagraphFont"/>
    <w:uiPriority w:val="99"/>
    <w:semiHidden/>
    <w:unhideWhenUsed/>
    <w:rPr>
      <w:vertAlign w:val="superscript"/>
    </w:rPr>
  </w:style>
  <w:style w:type="character" w:customStyle="1" w:styleId="EndnoteTextChar">
    <w:name w:val="Endnote Text Char"/>
    <w:basedOn w:val="DefaultParagraphFont"/>
    <w:link w:val="EndnoteText"/>
    <w:uiPriority w:val="99"/>
    <w:semiHidden/>
    <w:rPr>
      <w:sz w:val="20"/>
      <w:szCs w:val="20"/>
    </w:rPr>
  </w:style>
  <w:style w:type="paragraph" w:styleId="EndnoteText">
    <w:name w:val="endnote text"/>
    <w:basedOn w:val="Normal"/>
    <w:link w:val="EndnoteTextChar"/>
    <w:uiPriority w:val="99"/>
    <w:semiHidden/>
    <w:unhideWhenUsed/>
    <w:pPr>
      <w:spacing w:after="0" w:line="240" w:lineRule="auto"/>
    </w:pPr>
    <w:rPr>
      <w:sz w:val="20"/>
      <w:szCs w:val="20"/>
    </w:rPr>
  </w:style>
  <w:style w:type="paragraph" w:styleId="Bibliography">
    <w:name w:val="Bibliography"/>
    <w:basedOn w:val="Normal"/>
    <w:next w:val="Normal"/>
    <w:uiPriority w:val="37"/>
    <w:unhideWhenUsed/>
    <w:rsid w:val="00347F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826914">
      <w:bodyDiv w:val="1"/>
      <w:marLeft w:val="0"/>
      <w:marRight w:val="0"/>
      <w:marTop w:val="0"/>
      <w:marBottom w:val="0"/>
      <w:divBdr>
        <w:top w:val="none" w:sz="0" w:space="0" w:color="auto"/>
        <w:left w:val="none" w:sz="0" w:space="0" w:color="auto"/>
        <w:bottom w:val="none" w:sz="0" w:space="0" w:color="auto"/>
        <w:right w:val="none" w:sz="0" w:space="0" w:color="auto"/>
      </w:divBdr>
    </w:div>
    <w:div w:id="207575228">
      <w:bodyDiv w:val="1"/>
      <w:marLeft w:val="0"/>
      <w:marRight w:val="0"/>
      <w:marTop w:val="0"/>
      <w:marBottom w:val="0"/>
      <w:divBdr>
        <w:top w:val="none" w:sz="0" w:space="0" w:color="auto"/>
        <w:left w:val="none" w:sz="0" w:space="0" w:color="auto"/>
        <w:bottom w:val="none" w:sz="0" w:space="0" w:color="auto"/>
        <w:right w:val="none" w:sz="0" w:space="0" w:color="auto"/>
      </w:divBdr>
    </w:div>
    <w:div w:id="219289498">
      <w:bodyDiv w:val="1"/>
      <w:marLeft w:val="0"/>
      <w:marRight w:val="0"/>
      <w:marTop w:val="0"/>
      <w:marBottom w:val="0"/>
      <w:divBdr>
        <w:top w:val="none" w:sz="0" w:space="0" w:color="auto"/>
        <w:left w:val="none" w:sz="0" w:space="0" w:color="auto"/>
        <w:bottom w:val="none" w:sz="0" w:space="0" w:color="auto"/>
        <w:right w:val="none" w:sz="0" w:space="0" w:color="auto"/>
      </w:divBdr>
    </w:div>
    <w:div w:id="279798145">
      <w:bodyDiv w:val="1"/>
      <w:marLeft w:val="0"/>
      <w:marRight w:val="0"/>
      <w:marTop w:val="0"/>
      <w:marBottom w:val="0"/>
      <w:divBdr>
        <w:top w:val="none" w:sz="0" w:space="0" w:color="auto"/>
        <w:left w:val="none" w:sz="0" w:space="0" w:color="auto"/>
        <w:bottom w:val="none" w:sz="0" w:space="0" w:color="auto"/>
        <w:right w:val="none" w:sz="0" w:space="0" w:color="auto"/>
      </w:divBdr>
    </w:div>
    <w:div w:id="310838619">
      <w:bodyDiv w:val="1"/>
      <w:marLeft w:val="0"/>
      <w:marRight w:val="0"/>
      <w:marTop w:val="0"/>
      <w:marBottom w:val="0"/>
      <w:divBdr>
        <w:top w:val="none" w:sz="0" w:space="0" w:color="auto"/>
        <w:left w:val="none" w:sz="0" w:space="0" w:color="auto"/>
        <w:bottom w:val="none" w:sz="0" w:space="0" w:color="auto"/>
        <w:right w:val="none" w:sz="0" w:space="0" w:color="auto"/>
      </w:divBdr>
    </w:div>
    <w:div w:id="344524989">
      <w:bodyDiv w:val="1"/>
      <w:marLeft w:val="0"/>
      <w:marRight w:val="0"/>
      <w:marTop w:val="0"/>
      <w:marBottom w:val="0"/>
      <w:divBdr>
        <w:top w:val="none" w:sz="0" w:space="0" w:color="auto"/>
        <w:left w:val="none" w:sz="0" w:space="0" w:color="auto"/>
        <w:bottom w:val="none" w:sz="0" w:space="0" w:color="auto"/>
        <w:right w:val="none" w:sz="0" w:space="0" w:color="auto"/>
      </w:divBdr>
    </w:div>
    <w:div w:id="352533931">
      <w:bodyDiv w:val="1"/>
      <w:marLeft w:val="0"/>
      <w:marRight w:val="0"/>
      <w:marTop w:val="0"/>
      <w:marBottom w:val="0"/>
      <w:divBdr>
        <w:top w:val="none" w:sz="0" w:space="0" w:color="auto"/>
        <w:left w:val="none" w:sz="0" w:space="0" w:color="auto"/>
        <w:bottom w:val="none" w:sz="0" w:space="0" w:color="auto"/>
        <w:right w:val="none" w:sz="0" w:space="0" w:color="auto"/>
      </w:divBdr>
    </w:div>
    <w:div w:id="363754715">
      <w:bodyDiv w:val="1"/>
      <w:marLeft w:val="0"/>
      <w:marRight w:val="0"/>
      <w:marTop w:val="0"/>
      <w:marBottom w:val="0"/>
      <w:divBdr>
        <w:top w:val="none" w:sz="0" w:space="0" w:color="auto"/>
        <w:left w:val="none" w:sz="0" w:space="0" w:color="auto"/>
        <w:bottom w:val="none" w:sz="0" w:space="0" w:color="auto"/>
        <w:right w:val="none" w:sz="0" w:space="0" w:color="auto"/>
      </w:divBdr>
    </w:div>
    <w:div w:id="413937132">
      <w:bodyDiv w:val="1"/>
      <w:marLeft w:val="0"/>
      <w:marRight w:val="0"/>
      <w:marTop w:val="0"/>
      <w:marBottom w:val="0"/>
      <w:divBdr>
        <w:top w:val="none" w:sz="0" w:space="0" w:color="auto"/>
        <w:left w:val="none" w:sz="0" w:space="0" w:color="auto"/>
        <w:bottom w:val="none" w:sz="0" w:space="0" w:color="auto"/>
        <w:right w:val="none" w:sz="0" w:space="0" w:color="auto"/>
      </w:divBdr>
    </w:div>
    <w:div w:id="482897336">
      <w:bodyDiv w:val="1"/>
      <w:marLeft w:val="0"/>
      <w:marRight w:val="0"/>
      <w:marTop w:val="0"/>
      <w:marBottom w:val="0"/>
      <w:divBdr>
        <w:top w:val="none" w:sz="0" w:space="0" w:color="auto"/>
        <w:left w:val="none" w:sz="0" w:space="0" w:color="auto"/>
        <w:bottom w:val="none" w:sz="0" w:space="0" w:color="auto"/>
        <w:right w:val="none" w:sz="0" w:space="0" w:color="auto"/>
      </w:divBdr>
    </w:div>
    <w:div w:id="585576464">
      <w:bodyDiv w:val="1"/>
      <w:marLeft w:val="0"/>
      <w:marRight w:val="0"/>
      <w:marTop w:val="0"/>
      <w:marBottom w:val="0"/>
      <w:divBdr>
        <w:top w:val="none" w:sz="0" w:space="0" w:color="auto"/>
        <w:left w:val="none" w:sz="0" w:space="0" w:color="auto"/>
        <w:bottom w:val="none" w:sz="0" w:space="0" w:color="auto"/>
        <w:right w:val="none" w:sz="0" w:space="0" w:color="auto"/>
      </w:divBdr>
    </w:div>
    <w:div w:id="653722737">
      <w:bodyDiv w:val="1"/>
      <w:marLeft w:val="0"/>
      <w:marRight w:val="0"/>
      <w:marTop w:val="0"/>
      <w:marBottom w:val="0"/>
      <w:divBdr>
        <w:top w:val="none" w:sz="0" w:space="0" w:color="auto"/>
        <w:left w:val="none" w:sz="0" w:space="0" w:color="auto"/>
        <w:bottom w:val="none" w:sz="0" w:space="0" w:color="auto"/>
        <w:right w:val="none" w:sz="0" w:space="0" w:color="auto"/>
      </w:divBdr>
    </w:div>
    <w:div w:id="661737566">
      <w:bodyDiv w:val="1"/>
      <w:marLeft w:val="0"/>
      <w:marRight w:val="0"/>
      <w:marTop w:val="0"/>
      <w:marBottom w:val="0"/>
      <w:divBdr>
        <w:top w:val="none" w:sz="0" w:space="0" w:color="auto"/>
        <w:left w:val="none" w:sz="0" w:space="0" w:color="auto"/>
        <w:bottom w:val="none" w:sz="0" w:space="0" w:color="auto"/>
        <w:right w:val="none" w:sz="0" w:space="0" w:color="auto"/>
      </w:divBdr>
    </w:div>
    <w:div w:id="832373977">
      <w:bodyDiv w:val="1"/>
      <w:marLeft w:val="0"/>
      <w:marRight w:val="0"/>
      <w:marTop w:val="0"/>
      <w:marBottom w:val="0"/>
      <w:divBdr>
        <w:top w:val="none" w:sz="0" w:space="0" w:color="auto"/>
        <w:left w:val="none" w:sz="0" w:space="0" w:color="auto"/>
        <w:bottom w:val="none" w:sz="0" w:space="0" w:color="auto"/>
        <w:right w:val="none" w:sz="0" w:space="0" w:color="auto"/>
      </w:divBdr>
    </w:div>
    <w:div w:id="876311181">
      <w:bodyDiv w:val="1"/>
      <w:marLeft w:val="0"/>
      <w:marRight w:val="0"/>
      <w:marTop w:val="0"/>
      <w:marBottom w:val="0"/>
      <w:divBdr>
        <w:top w:val="none" w:sz="0" w:space="0" w:color="auto"/>
        <w:left w:val="none" w:sz="0" w:space="0" w:color="auto"/>
        <w:bottom w:val="none" w:sz="0" w:space="0" w:color="auto"/>
        <w:right w:val="none" w:sz="0" w:space="0" w:color="auto"/>
      </w:divBdr>
    </w:div>
    <w:div w:id="1022777625">
      <w:bodyDiv w:val="1"/>
      <w:marLeft w:val="0"/>
      <w:marRight w:val="0"/>
      <w:marTop w:val="0"/>
      <w:marBottom w:val="0"/>
      <w:divBdr>
        <w:top w:val="none" w:sz="0" w:space="0" w:color="auto"/>
        <w:left w:val="none" w:sz="0" w:space="0" w:color="auto"/>
        <w:bottom w:val="none" w:sz="0" w:space="0" w:color="auto"/>
        <w:right w:val="none" w:sz="0" w:space="0" w:color="auto"/>
      </w:divBdr>
    </w:div>
    <w:div w:id="1043794203">
      <w:bodyDiv w:val="1"/>
      <w:marLeft w:val="0"/>
      <w:marRight w:val="0"/>
      <w:marTop w:val="0"/>
      <w:marBottom w:val="0"/>
      <w:divBdr>
        <w:top w:val="none" w:sz="0" w:space="0" w:color="auto"/>
        <w:left w:val="none" w:sz="0" w:space="0" w:color="auto"/>
        <w:bottom w:val="none" w:sz="0" w:space="0" w:color="auto"/>
        <w:right w:val="none" w:sz="0" w:space="0" w:color="auto"/>
      </w:divBdr>
    </w:div>
    <w:div w:id="1085108586">
      <w:bodyDiv w:val="1"/>
      <w:marLeft w:val="0"/>
      <w:marRight w:val="0"/>
      <w:marTop w:val="0"/>
      <w:marBottom w:val="0"/>
      <w:divBdr>
        <w:top w:val="none" w:sz="0" w:space="0" w:color="auto"/>
        <w:left w:val="none" w:sz="0" w:space="0" w:color="auto"/>
        <w:bottom w:val="none" w:sz="0" w:space="0" w:color="auto"/>
        <w:right w:val="none" w:sz="0" w:space="0" w:color="auto"/>
      </w:divBdr>
    </w:div>
    <w:div w:id="1114179535">
      <w:bodyDiv w:val="1"/>
      <w:marLeft w:val="0"/>
      <w:marRight w:val="0"/>
      <w:marTop w:val="0"/>
      <w:marBottom w:val="0"/>
      <w:divBdr>
        <w:top w:val="none" w:sz="0" w:space="0" w:color="auto"/>
        <w:left w:val="none" w:sz="0" w:space="0" w:color="auto"/>
        <w:bottom w:val="none" w:sz="0" w:space="0" w:color="auto"/>
        <w:right w:val="none" w:sz="0" w:space="0" w:color="auto"/>
      </w:divBdr>
    </w:div>
    <w:div w:id="1151562678">
      <w:bodyDiv w:val="1"/>
      <w:marLeft w:val="0"/>
      <w:marRight w:val="0"/>
      <w:marTop w:val="0"/>
      <w:marBottom w:val="0"/>
      <w:divBdr>
        <w:top w:val="none" w:sz="0" w:space="0" w:color="auto"/>
        <w:left w:val="none" w:sz="0" w:space="0" w:color="auto"/>
        <w:bottom w:val="none" w:sz="0" w:space="0" w:color="auto"/>
        <w:right w:val="none" w:sz="0" w:space="0" w:color="auto"/>
      </w:divBdr>
    </w:div>
    <w:div w:id="1216770897">
      <w:bodyDiv w:val="1"/>
      <w:marLeft w:val="0"/>
      <w:marRight w:val="0"/>
      <w:marTop w:val="0"/>
      <w:marBottom w:val="0"/>
      <w:divBdr>
        <w:top w:val="none" w:sz="0" w:space="0" w:color="auto"/>
        <w:left w:val="none" w:sz="0" w:space="0" w:color="auto"/>
        <w:bottom w:val="none" w:sz="0" w:space="0" w:color="auto"/>
        <w:right w:val="none" w:sz="0" w:space="0" w:color="auto"/>
      </w:divBdr>
    </w:div>
    <w:div w:id="1223371035">
      <w:bodyDiv w:val="1"/>
      <w:marLeft w:val="0"/>
      <w:marRight w:val="0"/>
      <w:marTop w:val="0"/>
      <w:marBottom w:val="0"/>
      <w:divBdr>
        <w:top w:val="none" w:sz="0" w:space="0" w:color="auto"/>
        <w:left w:val="none" w:sz="0" w:space="0" w:color="auto"/>
        <w:bottom w:val="none" w:sz="0" w:space="0" w:color="auto"/>
        <w:right w:val="none" w:sz="0" w:space="0" w:color="auto"/>
      </w:divBdr>
    </w:div>
    <w:div w:id="1239173836">
      <w:bodyDiv w:val="1"/>
      <w:marLeft w:val="0"/>
      <w:marRight w:val="0"/>
      <w:marTop w:val="0"/>
      <w:marBottom w:val="0"/>
      <w:divBdr>
        <w:top w:val="none" w:sz="0" w:space="0" w:color="auto"/>
        <w:left w:val="none" w:sz="0" w:space="0" w:color="auto"/>
        <w:bottom w:val="none" w:sz="0" w:space="0" w:color="auto"/>
        <w:right w:val="none" w:sz="0" w:space="0" w:color="auto"/>
      </w:divBdr>
    </w:div>
    <w:div w:id="1253659928">
      <w:bodyDiv w:val="1"/>
      <w:marLeft w:val="0"/>
      <w:marRight w:val="0"/>
      <w:marTop w:val="0"/>
      <w:marBottom w:val="0"/>
      <w:divBdr>
        <w:top w:val="none" w:sz="0" w:space="0" w:color="auto"/>
        <w:left w:val="none" w:sz="0" w:space="0" w:color="auto"/>
        <w:bottom w:val="none" w:sz="0" w:space="0" w:color="auto"/>
        <w:right w:val="none" w:sz="0" w:space="0" w:color="auto"/>
      </w:divBdr>
    </w:div>
    <w:div w:id="1261715408">
      <w:bodyDiv w:val="1"/>
      <w:marLeft w:val="0"/>
      <w:marRight w:val="0"/>
      <w:marTop w:val="0"/>
      <w:marBottom w:val="0"/>
      <w:divBdr>
        <w:top w:val="none" w:sz="0" w:space="0" w:color="auto"/>
        <w:left w:val="none" w:sz="0" w:space="0" w:color="auto"/>
        <w:bottom w:val="none" w:sz="0" w:space="0" w:color="auto"/>
        <w:right w:val="none" w:sz="0" w:space="0" w:color="auto"/>
      </w:divBdr>
    </w:div>
    <w:div w:id="1290474458">
      <w:bodyDiv w:val="1"/>
      <w:marLeft w:val="0"/>
      <w:marRight w:val="0"/>
      <w:marTop w:val="0"/>
      <w:marBottom w:val="0"/>
      <w:divBdr>
        <w:top w:val="none" w:sz="0" w:space="0" w:color="auto"/>
        <w:left w:val="none" w:sz="0" w:space="0" w:color="auto"/>
        <w:bottom w:val="none" w:sz="0" w:space="0" w:color="auto"/>
        <w:right w:val="none" w:sz="0" w:space="0" w:color="auto"/>
      </w:divBdr>
    </w:div>
    <w:div w:id="1303774404">
      <w:bodyDiv w:val="1"/>
      <w:marLeft w:val="0"/>
      <w:marRight w:val="0"/>
      <w:marTop w:val="0"/>
      <w:marBottom w:val="0"/>
      <w:divBdr>
        <w:top w:val="none" w:sz="0" w:space="0" w:color="auto"/>
        <w:left w:val="none" w:sz="0" w:space="0" w:color="auto"/>
        <w:bottom w:val="none" w:sz="0" w:space="0" w:color="auto"/>
        <w:right w:val="none" w:sz="0" w:space="0" w:color="auto"/>
      </w:divBdr>
    </w:div>
    <w:div w:id="1382634810">
      <w:bodyDiv w:val="1"/>
      <w:marLeft w:val="0"/>
      <w:marRight w:val="0"/>
      <w:marTop w:val="0"/>
      <w:marBottom w:val="0"/>
      <w:divBdr>
        <w:top w:val="none" w:sz="0" w:space="0" w:color="auto"/>
        <w:left w:val="none" w:sz="0" w:space="0" w:color="auto"/>
        <w:bottom w:val="none" w:sz="0" w:space="0" w:color="auto"/>
        <w:right w:val="none" w:sz="0" w:space="0" w:color="auto"/>
      </w:divBdr>
    </w:div>
    <w:div w:id="1442845833">
      <w:bodyDiv w:val="1"/>
      <w:marLeft w:val="0"/>
      <w:marRight w:val="0"/>
      <w:marTop w:val="0"/>
      <w:marBottom w:val="0"/>
      <w:divBdr>
        <w:top w:val="none" w:sz="0" w:space="0" w:color="auto"/>
        <w:left w:val="none" w:sz="0" w:space="0" w:color="auto"/>
        <w:bottom w:val="none" w:sz="0" w:space="0" w:color="auto"/>
        <w:right w:val="none" w:sz="0" w:space="0" w:color="auto"/>
      </w:divBdr>
    </w:div>
    <w:div w:id="1449812479">
      <w:bodyDiv w:val="1"/>
      <w:marLeft w:val="0"/>
      <w:marRight w:val="0"/>
      <w:marTop w:val="0"/>
      <w:marBottom w:val="0"/>
      <w:divBdr>
        <w:top w:val="none" w:sz="0" w:space="0" w:color="auto"/>
        <w:left w:val="none" w:sz="0" w:space="0" w:color="auto"/>
        <w:bottom w:val="none" w:sz="0" w:space="0" w:color="auto"/>
        <w:right w:val="none" w:sz="0" w:space="0" w:color="auto"/>
      </w:divBdr>
    </w:div>
    <w:div w:id="1493988848">
      <w:bodyDiv w:val="1"/>
      <w:marLeft w:val="0"/>
      <w:marRight w:val="0"/>
      <w:marTop w:val="0"/>
      <w:marBottom w:val="0"/>
      <w:divBdr>
        <w:top w:val="none" w:sz="0" w:space="0" w:color="auto"/>
        <w:left w:val="none" w:sz="0" w:space="0" w:color="auto"/>
        <w:bottom w:val="none" w:sz="0" w:space="0" w:color="auto"/>
        <w:right w:val="none" w:sz="0" w:space="0" w:color="auto"/>
      </w:divBdr>
    </w:div>
    <w:div w:id="1520774271">
      <w:bodyDiv w:val="1"/>
      <w:marLeft w:val="0"/>
      <w:marRight w:val="0"/>
      <w:marTop w:val="0"/>
      <w:marBottom w:val="0"/>
      <w:divBdr>
        <w:top w:val="none" w:sz="0" w:space="0" w:color="auto"/>
        <w:left w:val="none" w:sz="0" w:space="0" w:color="auto"/>
        <w:bottom w:val="none" w:sz="0" w:space="0" w:color="auto"/>
        <w:right w:val="none" w:sz="0" w:space="0" w:color="auto"/>
      </w:divBdr>
    </w:div>
    <w:div w:id="1536310467">
      <w:bodyDiv w:val="1"/>
      <w:marLeft w:val="0"/>
      <w:marRight w:val="0"/>
      <w:marTop w:val="0"/>
      <w:marBottom w:val="0"/>
      <w:divBdr>
        <w:top w:val="none" w:sz="0" w:space="0" w:color="auto"/>
        <w:left w:val="none" w:sz="0" w:space="0" w:color="auto"/>
        <w:bottom w:val="none" w:sz="0" w:space="0" w:color="auto"/>
        <w:right w:val="none" w:sz="0" w:space="0" w:color="auto"/>
      </w:divBdr>
    </w:div>
    <w:div w:id="1601796733">
      <w:bodyDiv w:val="1"/>
      <w:marLeft w:val="0"/>
      <w:marRight w:val="0"/>
      <w:marTop w:val="0"/>
      <w:marBottom w:val="0"/>
      <w:divBdr>
        <w:top w:val="none" w:sz="0" w:space="0" w:color="auto"/>
        <w:left w:val="none" w:sz="0" w:space="0" w:color="auto"/>
        <w:bottom w:val="none" w:sz="0" w:space="0" w:color="auto"/>
        <w:right w:val="none" w:sz="0" w:space="0" w:color="auto"/>
      </w:divBdr>
    </w:div>
    <w:div w:id="1664428185">
      <w:bodyDiv w:val="1"/>
      <w:marLeft w:val="0"/>
      <w:marRight w:val="0"/>
      <w:marTop w:val="0"/>
      <w:marBottom w:val="0"/>
      <w:divBdr>
        <w:top w:val="none" w:sz="0" w:space="0" w:color="auto"/>
        <w:left w:val="none" w:sz="0" w:space="0" w:color="auto"/>
        <w:bottom w:val="none" w:sz="0" w:space="0" w:color="auto"/>
        <w:right w:val="none" w:sz="0" w:space="0" w:color="auto"/>
      </w:divBdr>
    </w:div>
    <w:div w:id="1712219154">
      <w:bodyDiv w:val="1"/>
      <w:marLeft w:val="0"/>
      <w:marRight w:val="0"/>
      <w:marTop w:val="0"/>
      <w:marBottom w:val="0"/>
      <w:divBdr>
        <w:top w:val="none" w:sz="0" w:space="0" w:color="auto"/>
        <w:left w:val="none" w:sz="0" w:space="0" w:color="auto"/>
        <w:bottom w:val="none" w:sz="0" w:space="0" w:color="auto"/>
        <w:right w:val="none" w:sz="0" w:space="0" w:color="auto"/>
      </w:divBdr>
    </w:div>
    <w:div w:id="1714043130">
      <w:bodyDiv w:val="1"/>
      <w:marLeft w:val="0"/>
      <w:marRight w:val="0"/>
      <w:marTop w:val="0"/>
      <w:marBottom w:val="0"/>
      <w:divBdr>
        <w:top w:val="none" w:sz="0" w:space="0" w:color="auto"/>
        <w:left w:val="none" w:sz="0" w:space="0" w:color="auto"/>
        <w:bottom w:val="none" w:sz="0" w:space="0" w:color="auto"/>
        <w:right w:val="none" w:sz="0" w:space="0" w:color="auto"/>
      </w:divBdr>
    </w:div>
    <w:div w:id="1790930937">
      <w:bodyDiv w:val="1"/>
      <w:marLeft w:val="0"/>
      <w:marRight w:val="0"/>
      <w:marTop w:val="0"/>
      <w:marBottom w:val="0"/>
      <w:divBdr>
        <w:top w:val="none" w:sz="0" w:space="0" w:color="auto"/>
        <w:left w:val="none" w:sz="0" w:space="0" w:color="auto"/>
        <w:bottom w:val="none" w:sz="0" w:space="0" w:color="auto"/>
        <w:right w:val="none" w:sz="0" w:space="0" w:color="auto"/>
      </w:divBdr>
    </w:div>
    <w:div w:id="1802915204">
      <w:bodyDiv w:val="1"/>
      <w:marLeft w:val="0"/>
      <w:marRight w:val="0"/>
      <w:marTop w:val="0"/>
      <w:marBottom w:val="0"/>
      <w:divBdr>
        <w:top w:val="none" w:sz="0" w:space="0" w:color="auto"/>
        <w:left w:val="none" w:sz="0" w:space="0" w:color="auto"/>
        <w:bottom w:val="none" w:sz="0" w:space="0" w:color="auto"/>
        <w:right w:val="none" w:sz="0" w:space="0" w:color="auto"/>
      </w:divBdr>
    </w:div>
    <w:div w:id="1963530736">
      <w:bodyDiv w:val="1"/>
      <w:marLeft w:val="0"/>
      <w:marRight w:val="0"/>
      <w:marTop w:val="0"/>
      <w:marBottom w:val="0"/>
      <w:divBdr>
        <w:top w:val="none" w:sz="0" w:space="0" w:color="auto"/>
        <w:left w:val="none" w:sz="0" w:space="0" w:color="auto"/>
        <w:bottom w:val="none" w:sz="0" w:space="0" w:color="auto"/>
        <w:right w:val="none" w:sz="0" w:space="0" w:color="auto"/>
      </w:divBdr>
    </w:div>
    <w:div w:id="1999992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Ephemera" ma:contentTypeID="0x0101005DC155F682264648A38C2A02D853A29A01004621ECDB8153B349A5394779A9BC3380" ma:contentTypeVersion="" ma:contentTypeDescription="The base content type for all Agency documents" ma:contentTypeScope="" ma:versionID="a7de3dd1ca0107c9082fce138abc4404">
  <xsd:schema xmlns:xsd="http://www.w3.org/2001/XMLSchema" xmlns:xs="http://www.w3.org/2001/XMLSchema" xmlns:p="http://schemas.microsoft.com/office/2006/metadata/properties" xmlns:ns2="603af227-bd41-4012-ae1b-08ada9265a1f" xmlns:ns3="15aa2dd5-5cab-48dc-a412-d655c0461415" xmlns:ns4="cafb693c-5fa5-4015-b2ec-2b34be69d963" targetNamespace="http://schemas.microsoft.com/office/2006/metadata/properties" ma:root="true" ma:fieldsID="b0edc48fd4734d108fe64996a221187f" ns2:_="" ns3:_="" ns4:_="">
    <xsd:import namespace="603af227-bd41-4012-ae1b-08ada9265a1f"/>
    <xsd:import namespace="15aa2dd5-5cab-48dc-a412-d655c0461415"/>
    <xsd:import namespace="cafb693c-5fa5-4015-b2ec-2b34be69d963"/>
    <xsd:element name="properties">
      <xsd:complexType>
        <xsd:sequence>
          <xsd:element name="documentManagement">
            <xsd:complexType>
              <xsd:all>
                <xsd:element ref="ns2:d38ec887c5c24b7597ee90d37b16f021" minOccurs="0"/>
                <xsd:element ref="ns3:TaxCatchAll" minOccurs="0"/>
                <xsd:element ref="ns3:TaxCatchAllLabel" minOccurs="0"/>
                <xsd:element ref="ns2:l4d76ba1ef02463e886f3558602d0a10" minOccurs="0"/>
                <xsd:element ref="ns4:MediaServiceMetadata" minOccurs="0"/>
                <xsd:element ref="ns4:MediaServiceFastMetadata" minOccurs="0"/>
                <xsd:element ref="ns3:SharedWithUsers" minOccurs="0"/>
                <xsd:element ref="ns3:SharedWithDetails" minOccurs="0"/>
                <xsd:element ref="ns4:MediaServiceAutoKeyPoints" minOccurs="0"/>
                <xsd:element ref="ns4:MediaServiceKeyPoints" minOccurs="0"/>
                <xsd:element ref="ns4:MediaServiceDateTaken"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3af227-bd41-4012-ae1b-08ada9265a1f" elementFormDefault="qualified">
    <xsd:import namespace="http://schemas.microsoft.com/office/2006/documentManagement/types"/>
    <xsd:import namespace="http://schemas.microsoft.com/office/infopath/2007/PartnerControls"/>
    <xsd:element name="d38ec887c5c24b7597ee90d37b16f021" ma:index="8" nillable="true" ma:taxonomy="true" ma:internalName="d38ec887c5c24b7597ee90d37b16f021" ma:taxonomyFieldName="AgencyKeywords" ma:displayName="Agency Keywords" ma:default="" ma:fieldId="{d38ec887-c5c2-4b75-97ee-90d37b16f021}" ma:taxonomyMulti="true" ma:sspId="ee18d120-e8a3-4027-a24d-9aff90b49386" ma:termSetId="30143de7-8d03-4488-a6c1-277305f62f72" ma:anchorId="00000000-0000-0000-0000-000000000000" ma:open="true" ma:isKeyword="false">
      <xsd:complexType>
        <xsd:sequence>
          <xsd:element ref="pc:Terms" minOccurs="0" maxOccurs="1"/>
        </xsd:sequence>
      </xsd:complexType>
    </xsd:element>
    <xsd:element name="l4d76ba1ef02463e886f3558602d0a10" ma:index="12" nillable="true" ma:taxonomy="true" ma:internalName="l4d76ba1ef02463e886f3558602d0a10" ma:taxonomyFieldName="SecurityClassification" ma:displayName="Security Classification" ma:default="1;#Official|9d42bd58-89d2-4e46-94bb-80d8f31efd91" ma:fieldId="{54d76ba1-ef02-463e-886f-3558602d0a10}" ma:sspId="ee18d120-e8a3-4027-a24d-9aff90b49386" ma:termSetId="39c39363-0566-4543-8d36-d2293ffdaade"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5aa2dd5-5cab-48dc-a412-d655c0461415" elementFormDefault="qualified">
    <xsd:import namespace="http://schemas.microsoft.com/office/2006/documentManagement/types"/>
    <xsd:import namespace="http://schemas.microsoft.com/office/infopath/2007/PartnerControls"/>
    <xsd:element name="TaxCatchAll" ma:index="9" nillable="true" ma:displayName="Taxonomy Catch All Column" ma:hidden="true" ma:list="{24b92fa0-4424-4246-90c7-b5458132ca25}" ma:internalName="TaxCatchAll" ma:showField="CatchAllData" ma:web="15aa2dd5-5cab-48dc-a412-d655c0461415">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24b92fa0-4424-4246-90c7-b5458132ca25}" ma:internalName="TaxCatchAllLabel" ma:readOnly="true" ma:showField="CatchAllDataLabel" ma:web="15aa2dd5-5cab-48dc-a412-d655c0461415">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afb693c-5fa5-4015-b2ec-2b34be69d963" elementFormDefault="qualified">
    <xsd:import namespace="http://schemas.microsoft.com/office/2006/documentManagement/types"/>
    <xsd:import namespace="http://schemas.microsoft.com/office/infopath/2007/PartnerControls"/>
    <xsd:element name="MediaServiceMetadata" ma:index="14" nillable="true" ma:displayName="MediaServiceMetadata" ma:hidden="true" ma:internalName="MediaServiceMetadata" ma:readOnly="true">
      <xsd:simpleType>
        <xsd:restriction base="dms:Note"/>
      </xsd:simpleType>
    </xsd:element>
    <xsd:element name="MediaServiceFastMetadata" ma:index="15" nillable="true" ma:displayName="MediaServiceFastMetadata" ma:hidden="true" ma:internalName="MediaServiceFastMetadata" ma:readOnly="true">
      <xsd:simpleType>
        <xsd:restriction base="dms:Note"/>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DateTaken" ma:index="20" nillable="true" ma:displayName="MediaServiceDateTaken" ma:hidden="true" ma:internalName="MediaServiceDateTaken" ma:readOnly="true">
      <xsd:simpleType>
        <xsd:restriction base="dms:Text"/>
      </xsd:simpleType>
    </xsd:element>
    <xsd:element name="MediaServiceAutoTags" ma:index="21" nillable="true" ma:displayName="Tags" ma:internalName="MediaServiceAutoTags" ma:readOnly="true">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element name="MediaServiceGenerationTime" ma:index="23" nillable="true" ma:displayName="MediaServiceGenerationTime" ma:hidden="true" ma:internalName="MediaServiceGenerationTime" ma:readOnly="true">
      <xsd:simpleType>
        <xsd:restriction base="dms:Text"/>
      </xsd:simpleType>
    </xsd:element>
    <xsd:element name="MediaServiceEventHashCode" ma:index="2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5aa2dd5-5cab-48dc-a412-d655c0461415">
      <Value>4</Value>
    </TaxCatchAll>
    <d38ec887c5c24b7597ee90d37b16f021 xmlns="603af227-bd41-4012-ae1b-08ada9265a1f">
      <Terms xmlns="http://schemas.microsoft.com/office/infopath/2007/PartnerControls"/>
    </d38ec887c5c24b7597ee90d37b16f021>
    <l4d76ba1ef02463e886f3558602d0a10 xmlns="603af227-bd41-4012-ae1b-08ada9265a1f">
      <Terms xmlns="http://schemas.microsoft.com/office/infopath/2007/PartnerControls">
        <TermInfo xmlns="http://schemas.microsoft.com/office/infopath/2007/PartnerControls">
          <TermName xmlns="http://schemas.microsoft.com/office/infopath/2007/PartnerControls">Official</TermName>
          <TermId xmlns="http://schemas.microsoft.com/office/infopath/2007/PartnerControls">9d42bd58-89d2-4e46-94bb-80d8f31efd91</TermId>
        </TermInfo>
      </Terms>
    </l4d76ba1ef02463e886f3558602d0a10>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b:Source>
    <b:Tag>Yah</b:Tag>
    <b:SourceType>InternetSite</b:SourceType>
    <b:Guid>{3495699D-EA7B-1840-B6AE-225B3D295A3A}</b:Guid>
    <b:Title>Yahoo</b:Title>
    <b:URL>https://yahoo.com</b:URL>
    <b:RefOrder>1</b:RefOrder>
  </b:Source>
</b:Sources>
</file>

<file path=customXml/itemProps1.xml><?xml version="1.0" encoding="utf-8"?>
<ds:datastoreItem xmlns:ds="http://schemas.openxmlformats.org/officeDocument/2006/customXml" ds:itemID="{F95643CE-1BA4-4BF7-8122-FABCF46586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3af227-bd41-4012-ae1b-08ada9265a1f"/>
    <ds:schemaRef ds:uri="15aa2dd5-5cab-48dc-a412-d655c0461415"/>
    <ds:schemaRef ds:uri="cafb693c-5fa5-4015-b2ec-2b34be69d9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3C38E59-AA42-401A-A444-2925EBEF088A}">
  <ds:schemaRefs>
    <ds:schemaRef ds:uri="http://schemas.microsoft.com/sharepoint/v3/contenttype/forms"/>
  </ds:schemaRefs>
</ds:datastoreItem>
</file>

<file path=customXml/itemProps3.xml><?xml version="1.0" encoding="utf-8"?>
<ds:datastoreItem xmlns:ds="http://schemas.openxmlformats.org/officeDocument/2006/customXml" ds:itemID="{A7C92B0D-B9EA-4A27-8854-20A6DBAE6CDB}">
  <ds:schemaRefs>
    <ds:schemaRef ds:uri="http://schemas.microsoft.com/office/2006/metadata/properties"/>
    <ds:schemaRef ds:uri="http://schemas.microsoft.com/office/infopath/2007/PartnerControls"/>
    <ds:schemaRef ds:uri="15aa2dd5-5cab-48dc-a412-d655c0461415"/>
    <ds:schemaRef ds:uri="603af227-bd41-4012-ae1b-08ada9265a1f"/>
  </ds:schemaRefs>
</ds:datastoreItem>
</file>

<file path=customXml/itemProps4.xml><?xml version="1.0" encoding="utf-8"?>
<ds:datastoreItem xmlns:ds="http://schemas.openxmlformats.org/officeDocument/2006/customXml" ds:itemID="{5DDCB35E-1FAD-2341-BD59-6B0BC0DB9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1407</Words>
  <Characters>8026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Coppola, Paola</dc:creator>
  <cp:keywords/>
  <dc:description/>
  <cp:lastModifiedBy>Lee, Tim</cp:lastModifiedBy>
  <cp:revision>4</cp:revision>
  <dcterms:created xsi:type="dcterms:W3CDTF">2020-09-08T11:46:00Z</dcterms:created>
  <dcterms:modified xsi:type="dcterms:W3CDTF">2020-09-08T12:13:00Z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0x0101005DC155F682264648A38C2A02D853A29A01004621ECDB8153B349A5394779A9BC3380</vt:lpwstr>
  </property>
  <property fmtid="{D5CDD505-2E9C-101B-9397-08002B2CF9AE}" pid="3" name="AgencyKeywords">
    <vt:lpwstr/>
  </property>
  <property fmtid="{D5CDD505-2E9C-101B-9397-08002B2CF9AE}" pid="4" name="SecurityClassification">
    <vt:lpwstr>4;#Official|9d42bd58-89d2-4e46-94bb-80d8f31efd91</vt:lpwstr>
  </property>
</Properties>
</file>