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right" w:tblpY="-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58CE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732E24A3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C4070C8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5F339454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144A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79D53790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3C19058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3CB2B5A">
            <w:pPr>
              <w:jc w:val="center"/>
            </w:pPr>
          </w:p>
        </w:tc>
      </w:tr>
    </w:tbl>
    <w:p w14:paraId="3001BD07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IB00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267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</w:p>
    <w:p w14:paraId="778BAFE6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</w:p>
    <w:p w14:paraId="44E80D28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</w:p>
    <w:p w14:paraId="154D8216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59845591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44D371C5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2153920</wp:posOffset>
            </wp:positionH>
            <wp:positionV relativeFrom="margin">
              <wp:posOffset>1405890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493B70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7247C0A2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2FBE91C6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2258813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</w:p>
    <w:p w14:paraId="618714D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深度学习方法与应用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</w:p>
    <w:p w14:paraId="1637E369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>CNN实验+AlexNet进行语音唤醒词识别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</w:p>
    <w:p w14:paraId="791C026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人工智能二班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</w:p>
    <w:p w14:paraId="4295A374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王乾龙              </w:t>
      </w:r>
    </w:p>
    <w:p w14:paraId="01AC783B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 告 人：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万腾远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学号：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202400803070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</w:p>
    <w:p w14:paraId="508D0FCD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C-5-415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</w:t>
      </w:r>
    </w:p>
    <w:p w14:paraId="4EA4174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2026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12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日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星期一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</w:p>
    <w:p w14:paraId="081E97B4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eastAsia="zh-CN"/>
        </w:rPr>
        <w:t>2026年10月12日星期一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</w:t>
      </w:r>
    </w:p>
    <w:p w14:paraId="223BDF7B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</w:p>
    <w:p w14:paraId="7418AD70">
      <w:pPr>
        <w:numPr>
          <w:ilvl w:val="0"/>
          <w:numId w:val="1"/>
        </w:numPr>
        <w:spacing w:line="360" w:lineRule="auto"/>
        <w:rPr>
          <w:rFonts w:ascii="黑体" w:hAnsi="Times New Roman" w:eastAsia="黑体" w:cs="Times New Roman"/>
          <w:b/>
          <w:sz w:val="24"/>
          <w:szCs w:val="24"/>
        </w:rPr>
      </w:pPr>
      <w:r>
        <w:rPr>
          <w:rFonts w:hint="eastAsia" w:ascii="黑体" w:hAnsi="Times New Roman" w:eastAsia="黑体" w:cs="Times New Roman"/>
          <w:b/>
          <w:sz w:val="24"/>
          <w:szCs w:val="24"/>
        </w:rPr>
        <w:t>实验目的</w:t>
      </w:r>
    </w:p>
    <w:p w14:paraId="0EA53001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基于 Grad-CAM 模型的可视化</w:t>
      </w:r>
    </w:p>
    <w:p w14:paraId="1A60CAD5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 基于训练好的图像分类模型，引入Grad-CAM方法，对输入图像进行判别区域的可视化分析。</w:t>
      </w:r>
    </w:p>
    <w:p w14:paraId="5C180B1A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 需要首先完成模型的前向传播与类别预测，在此基础上通过反向传播获取目标类别关于特征图的梯度信息，并结合全局平均池化计算各通道权重，从而生成类别激活映射。最终将得到的热力图上采样并叠加至原始图像，实现模型关注区域的直观展示。</w:t>
      </w:r>
    </w:p>
    <w:p w14:paraId="216EDC8F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 实验报告需给出以下内容：所选模型结构，Grad-CAM实现的关键步骤说明（包括梯度获取与权重计算方式），以及至少5组不同类别图像的可视化结果。每组结果需包含原始图像、热力图以及叠加图像三部分，并对比分析模型关注区域是否与目标语义一致，从而讨论模型判别依据的合理性。</w:t>
      </w:r>
    </w:p>
    <w:p w14:paraId="3E7829D1">
      <w:pPr>
        <w:spacing w:line="276" w:lineRule="auto"/>
        <w:rPr>
          <w:rFonts w:ascii="Times New Roman" w:hAnsi="Times New Roman" w:eastAsia="宋体" w:cs="Times New Roman"/>
          <w:kern w:val="0"/>
          <w:sz w:val="24"/>
        </w:rPr>
      </w:pPr>
    </w:p>
    <w:p w14:paraId="0B099A88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</w:rPr>
      </w:pPr>
    </w:p>
    <w:p w14:paraId="54C0AD4A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 xml:space="preserve">2. 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卷积神经网络多层特征可视化</w:t>
      </w:r>
    </w:p>
    <w:p w14:paraId="2C0F7C39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 围绕卷积神经网络的层次化特征学习机制展开，选取典型卷积模型（如ResNet或VGG），对不同卷积层输出的特征进行提取与可视化。通过对浅层、中层和深层特征的对比，分析卷积网络从低级视觉信息（边缘、纹理）到高级语义信息（目标结构、类别特征）的逐层抽象过程。</w:t>
      </w:r>
    </w:p>
    <w:p w14:paraId="691D6F0C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实验报告需包含模型结构说明及所选可视化层的位置说明，并展示至少三层特征的可视化结果。此外，需要对不同层特征的信息变化趋势进行总结，包括特征稀疏性，并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思考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深层特征在分类任务中的作用。</w:t>
      </w:r>
    </w:p>
    <w:p w14:paraId="2F7E37D6">
      <w:pPr>
        <w:spacing w:line="276" w:lineRule="auto"/>
        <w:rPr>
          <w:sz w:val="24"/>
          <w:szCs w:val="28"/>
        </w:rPr>
      </w:pPr>
    </w:p>
    <w:p w14:paraId="69E21E98">
      <w:pPr>
        <w:spacing w:line="276" w:lineRule="auto"/>
        <w:rPr>
          <w:sz w:val="24"/>
          <w:szCs w:val="28"/>
        </w:rPr>
      </w:pPr>
    </w:p>
    <w:p w14:paraId="1C5DBC1B">
      <w:pPr>
        <w:spacing w:line="360" w:lineRule="auto"/>
        <w:rPr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 xml:space="preserve">3. 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基于特征通道选择的模型表征能力分析</w:t>
      </w:r>
    </w:p>
    <w:p w14:paraId="2208C71A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从特征通道角度出发，研究卷积神经网络中不同通道对最终分类结果的贡献。在已训练模型基础上，对某一中间卷积层的通道进行选择性保留或屏蔽（如随机屏蔽或基于响应强度筛选），并观察模型输出变化情况。通过该过程分析不同通道在特征表达中的重要性及冗余性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。</w:t>
      </w:r>
    </w:p>
    <w:p w14:paraId="45CAF408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实验报告需详细说明通道选择策略（随机等），并给出不同通道保留比例下的模型性能变化结果（如分类准确率曲线）。同时，需结合特征图可视化结果，对关键通道与非关键通道的差异进行分析。建议至少绘制一组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“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通道保留比例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—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模型性能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”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的变化曲线图，并结合实验结果给出解释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。</w:t>
      </w:r>
    </w:p>
    <w:p w14:paraId="38D51E50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4627F648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31E76B73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47781EE0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7692FB27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>4. 利用AlexNet进行语音唤醒词识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别</w:t>
      </w:r>
    </w:p>
    <w:p w14:paraId="7FB9F90E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围绕卷积神经网络在语音信号识别中的应用展开，利用语音唤醒词数据集构建基于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 xml:space="preserve"> AlexNet 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的语音分类模型。将语音信号转换为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梅尔频谱图（Mel Spectrogram）或声谱图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作为模型输入，通过模型训练实现对不同唤醒词的自动识别，分析卷积神经网络从时频特征中学习语音表征的过程。</w:t>
      </w:r>
    </w:p>
    <w:p w14:paraId="1C9491E3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实验报告需包含数据集及预处理方法、语音特征表示、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AlexNet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模型结构及训练参数说明，并展示模型训练过程及测试结果。要求给出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准确率、混淆矩阵等分类性能指标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，分析不同唤醒词的识别效果，并结合实验结果讨论卷积神经网络用于语音识别的优势与局限性。</w:t>
      </w:r>
    </w:p>
    <w:p w14:paraId="162177FE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6F1A899D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6A5774D3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50F5BBDC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4815B3AB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247A2D33">
      <w:pPr>
        <w:numPr>
          <w:ilvl w:val="0"/>
          <w:numId w:val="1"/>
        </w:numPr>
        <w:spacing w:line="360" w:lineRule="auto"/>
        <w:rPr>
          <w:rFonts w:ascii="Times New Roman" w:hAnsi="Times New Roman" w:eastAsia="黑体" w:cs="Times New Roman"/>
          <w:b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sz w:val="24"/>
          <w:szCs w:val="24"/>
        </w:rPr>
        <w:t>实验思路及记录</w:t>
      </w:r>
    </w:p>
    <w:p w14:paraId="32085B28">
      <w:pPr>
        <w:widowControl/>
        <w:numPr>
          <w:ilvl w:val="0"/>
          <w:numId w:val="2"/>
        </w:numPr>
        <w:spacing w:line="276" w:lineRule="auto"/>
        <w:rPr>
          <w:rFonts w:hint="eastAsia" w:ascii="Times New Roman" w:hAnsi="Times New Roman" w:eastAsia="宋体" w:cs="Times New Roman"/>
          <w:b/>
          <w:bCs/>
          <w:kern w:val="0"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基于 Grad-CAM 模型的可视化</w:t>
      </w:r>
    </w:p>
    <w:p w14:paraId="570B5F18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</w:rPr>
      </w:pPr>
    </w:p>
    <w:p w14:paraId="50ECE633">
      <w:pPr>
        <w:widowControl/>
        <w:numPr>
          <w:ilvl w:val="0"/>
          <w:numId w:val="2"/>
        </w:numPr>
        <w:spacing w:line="276" w:lineRule="auto"/>
        <w:ind w:left="0" w:leftChars="0" w:firstLine="0" w:firstLineChars="0"/>
        <w:rPr>
          <w:rFonts w:hint="eastAsia" w:ascii="Times New Roman" w:hAnsi="Times New Roman" w:eastAsia="宋体" w:cs="Times New Roman"/>
          <w:b/>
          <w:bCs/>
          <w:kern w:val="0"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卷积神经网络多层特征可视化</w:t>
      </w:r>
    </w:p>
    <w:p w14:paraId="37F70A95">
      <w:pPr>
        <w:spacing w:line="276" w:lineRule="auto"/>
        <w:rPr>
          <w:sz w:val="24"/>
          <w:szCs w:val="28"/>
        </w:rPr>
      </w:pPr>
    </w:p>
    <w:p w14:paraId="4019D0D1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 xml:space="preserve">3. 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基于特征通道选择的模型表征能力分析</w:t>
      </w:r>
    </w:p>
    <w:p w14:paraId="5A6BB2D3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552449BA">
      <w:pPr>
        <w:widowControl/>
        <w:spacing w:line="276" w:lineRule="auto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</w:rPr>
        <w:t>4. 利用AlexNet进行语音唤醒词识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</w:rPr>
        <w:t>别</w:t>
      </w:r>
    </w:p>
    <w:p w14:paraId="3F76C178">
      <w:pPr>
        <w:rPr>
          <w:rFonts w:asciiTheme="minorEastAsia" w:hAnsiTheme="minorEastAsia" w:cstheme="minorEastAsia"/>
          <w:sz w:val="24"/>
          <w:szCs w:val="24"/>
        </w:rPr>
      </w:pPr>
      <w:bookmarkStart w:id="0" w:name="_GoBack"/>
      <w:bookmarkEnd w:id="0"/>
    </w:p>
    <w:p w14:paraId="5122022D">
      <w:pPr>
        <w:rPr>
          <w:rFonts w:asciiTheme="minorEastAsia" w:hAnsiTheme="minorEastAsia" w:cstheme="minorEastAsia"/>
          <w:sz w:val="24"/>
          <w:szCs w:val="24"/>
        </w:rPr>
      </w:pPr>
    </w:p>
    <w:p w14:paraId="5421D250">
      <w:pPr>
        <w:numPr>
          <w:ilvl w:val="0"/>
          <w:numId w:val="1"/>
        </w:numPr>
        <w:spacing w:line="360" w:lineRule="auto"/>
        <w:rPr>
          <w:rFonts w:ascii="Times New Roman" w:hAnsi="Times New Roman" w:eastAsia="黑体" w:cs="Times New Roman"/>
          <w:b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sz w:val="24"/>
          <w:szCs w:val="24"/>
        </w:rPr>
        <w:t>实验总结</w:t>
      </w:r>
    </w:p>
    <w:p w14:paraId="740B9CB3">
      <w:pPr>
        <w:rPr>
          <w:rFonts w:asciiTheme="minorEastAsia" w:hAnsiTheme="minorEastAsia" w:cstheme="minorEastAsia"/>
          <w:sz w:val="24"/>
          <w:szCs w:val="24"/>
        </w:rPr>
      </w:pPr>
    </w:p>
    <w:p w14:paraId="2B6BE579">
      <w:pPr>
        <w:rPr>
          <w:rFonts w:asciiTheme="minorEastAsia" w:hAnsiTheme="minorEastAsia" w:cstheme="minorEastAsia"/>
          <w:sz w:val="24"/>
          <w:szCs w:val="24"/>
        </w:rPr>
      </w:pPr>
    </w:p>
    <w:p w14:paraId="267CA20E">
      <w:pPr>
        <w:rPr>
          <w:rFonts w:asciiTheme="minorEastAsia" w:hAnsiTheme="minorEastAsia" w:cstheme="minorEastAsia"/>
          <w:sz w:val="24"/>
          <w:szCs w:val="24"/>
        </w:rPr>
      </w:pPr>
    </w:p>
    <w:p w14:paraId="3DDD75DA">
      <w:pPr>
        <w:rPr>
          <w:rFonts w:asciiTheme="minorEastAsia" w:hAnsiTheme="minorEastAsia" w:cstheme="minorEastAsia"/>
          <w:sz w:val="24"/>
          <w:szCs w:val="24"/>
        </w:rPr>
      </w:pPr>
    </w:p>
    <w:p w14:paraId="195AFBA9">
      <w:pPr>
        <w:rPr>
          <w:rFonts w:asciiTheme="minorEastAsia" w:hAnsiTheme="minorEastAsia" w:cstheme="minorEastAsia"/>
          <w:sz w:val="24"/>
          <w:szCs w:val="24"/>
        </w:rPr>
      </w:pPr>
    </w:p>
    <w:p w14:paraId="770AAD63">
      <w:pPr>
        <w:rPr>
          <w:rFonts w:asciiTheme="minorEastAsia" w:hAnsiTheme="minorEastAsia" w:cstheme="minorEastAsia"/>
          <w:sz w:val="24"/>
          <w:szCs w:val="24"/>
        </w:rPr>
      </w:pPr>
    </w:p>
    <w:p w14:paraId="7EE9FA93">
      <w:pPr>
        <w:rPr>
          <w:rFonts w:asciiTheme="minorEastAsia" w:hAnsiTheme="minorEastAsia" w:cstheme="minorEastAsia"/>
          <w:sz w:val="24"/>
          <w:szCs w:val="24"/>
        </w:rPr>
      </w:pPr>
    </w:p>
    <w:p w14:paraId="149ED081">
      <w:pPr>
        <w:rPr>
          <w:rFonts w:asciiTheme="minorEastAsia" w:hAnsiTheme="minorEastAsia" w:cstheme="minorEastAsia"/>
          <w:sz w:val="24"/>
          <w:szCs w:val="24"/>
        </w:rPr>
      </w:pPr>
    </w:p>
    <w:p w14:paraId="599AF757">
      <w:pPr>
        <w:rPr>
          <w:rFonts w:asciiTheme="minorEastAsia" w:hAnsiTheme="minorEastAsia" w:cstheme="minorEastAsia"/>
          <w:sz w:val="24"/>
          <w:szCs w:val="24"/>
        </w:rPr>
      </w:pPr>
    </w:p>
    <w:p w14:paraId="5BC1D918">
      <w:pPr>
        <w:rPr>
          <w:rFonts w:asciiTheme="minorEastAsia" w:hAnsiTheme="minorEastAsia" w:cstheme="minorEastAsia"/>
          <w:sz w:val="24"/>
          <w:szCs w:val="24"/>
        </w:rPr>
      </w:pPr>
    </w:p>
    <w:p w14:paraId="36A2D306">
      <w:pPr>
        <w:rPr>
          <w:rFonts w:asciiTheme="minorEastAsia" w:hAnsiTheme="minorEastAsia" w:cstheme="minorEastAsia"/>
          <w:sz w:val="24"/>
          <w:szCs w:val="24"/>
        </w:rPr>
      </w:pPr>
    </w:p>
    <w:p w14:paraId="7F569D13">
      <w:pPr>
        <w:rPr>
          <w:rFonts w:asciiTheme="minorEastAsia" w:hAnsiTheme="minorEastAsia" w:cstheme="minorEastAsia"/>
          <w:sz w:val="24"/>
          <w:szCs w:val="24"/>
        </w:rPr>
      </w:pPr>
    </w:p>
    <w:p w14:paraId="5A4933AD">
      <w:pPr>
        <w:rPr>
          <w:rFonts w:asciiTheme="minorEastAsia" w:hAnsiTheme="minorEastAsia" w:cstheme="minorEastAsia"/>
          <w:sz w:val="24"/>
          <w:szCs w:val="24"/>
        </w:rPr>
      </w:pPr>
    </w:p>
    <w:p w14:paraId="34738E1A">
      <w:pPr>
        <w:rPr>
          <w:rFonts w:asciiTheme="minorEastAsia" w:hAnsiTheme="minorEastAsia" w:cstheme="minorEastAsia"/>
          <w:sz w:val="24"/>
          <w:szCs w:val="24"/>
        </w:rPr>
      </w:pPr>
    </w:p>
    <w:p w14:paraId="645189A5">
      <w:pPr>
        <w:rPr>
          <w:rFonts w:asciiTheme="minorEastAsia" w:hAnsiTheme="minorEastAsia" w:cstheme="minorEastAsia"/>
          <w:sz w:val="24"/>
          <w:szCs w:val="24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74C3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323" w:type="dxa"/>
          </w:tcPr>
          <w:p w14:paraId="2A0ADB0D">
            <w:r>
              <w:t>指导教师批阅意见：</w:t>
            </w:r>
          </w:p>
          <w:p w14:paraId="7D825A0F"/>
          <w:p w14:paraId="0CC5F793"/>
          <w:p w14:paraId="21B77B46"/>
          <w:p w14:paraId="1701011A"/>
          <w:p w14:paraId="1C93FFAA"/>
        </w:tc>
      </w:tr>
      <w:tr w14:paraId="7BDF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8323" w:type="dxa"/>
          </w:tcPr>
          <w:p w14:paraId="1965A4F6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6B7623A4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2E424636">
            <w:pPr>
              <w:rPr>
                <w:rFonts w:ascii="Times New Roman" w:hAnsi="Times New Roman" w:eastAsia="宋体" w:cs="Times New Roman"/>
                <w:szCs w:val="24"/>
              </w:rPr>
            </w:pPr>
          </w:p>
          <w:tbl>
            <w:tblPr>
              <w:tblStyle w:val="7"/>
              <w:tblpPr w:leftFromText="180" w:rightFromText="180" w:vertAnchor="text" w:horzAnchor="page" w:tblpX="174" w:tblpY="-322"/>
              <w:tblOverlap w:val="never"/>
              <w:tblW w:w="7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0"/>
              <w:gridCol w:w="1220"/>
              <w:gridCol w:w="2260"/>
              <w:gridCol w:w="1010"/>
              <w:gridCol w:w="960"/>
              <w:gridCol w:w="1290"/>
            </w:tblGrid>
            <w:tr w14:paraId="1C39BB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6" w:hRule="atLeast"/>
              </w:trPr>
              <w:tc>
                <w:tcPr>
                  <w:tcW w:w="1060" w:type="dxa"/>
                  <w:vAlign w:val="center"/>
                </w:tcPr>
                <w:p w14:paraId="3F8C545E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预习</w:t>
                  </w:r>
                </w:p>
                <w:p w14:paraId="058D7052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20" w:type="dxa"/>
                  <w:vAlign w:val="center"/>
                </w:tcPr>
                <w:p w14:paraId="1E1AA8EC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操作及记录</w:t>
                  </w:r>
                </w:p>
                <w:p w14:paraId="7FCF22DF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260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4879CD9B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数据处理与结果陈述</w:t>
                  </w:r>
                </w:p>
                <w:p w14:paraId="03D1923F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</w:rPr>
                    <w:t>（30分）</w:t>
                  </w:r>
                </w:p>
              </w:tc>
              <w:tc>
                <w:tcPr>
                  <w:tcW w:w="1010" w:type="dxa"/>
                  <w:tcBorders>
                    <w:bottom w:val="nil"/>
                    <w:right w:val="single" w:color="auto" w:sz="4" w:space="0"/>
                  </w:tcBorders>
                </w:tcPr>
                <w:p w14:paraId="19E433AF">
                  <w:pPr>
                    <w:ind w:firstLine="181" w:firstLineChars="100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思考题</w:t>
                  </w:r>
                </w:p>
                <w:p w14:paraId="629F8E46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</w:rPr>
                    <w:t xml:space="preserve"> （10分）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1E21FB22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报告整体</w:t>
                  </w:r>
                </w:p>
                <w:p w14:paraId="18AC09D1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9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1B014ED3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7B7A4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9" w:hRule="atLeast"/>
              </w:trPr>
              <w:tc>
                <w:tcPr>
                  <w:tcW w:w="1060" w:type="dxa"/>
                </w:tcPr>
                <w:p w14:paraId="6DD96A4B">
                  <w:pPr>
                    <w:jc w:val="center"/>
                  </w:pPr>
                </w:p>
              </w:tc>
              <w:tc>
                <w:tcPr>
                  <w:tcW w:w="1220" w:type="dxa"/>
                </w:tcPr>
                <w:p w14:paraId="48CFA393">
                  <w:pPr>
                    <w:jc w:val="center"/>
                  </w:pPr>
                </w:p>
              </w:tc>
              <w:tc>
                <w:tcPr>
                  <w:tcW w:w="2260" w:type="dxa"/>
                  <w:tcBorders>
                    <w:right w:val="nil"/>
                  </w:tcBorders>
                </w:tcPr>
                <w:p w14:paraId="60C320A2">
                  <w:pPr>
                    <w:jc w:val="center"/>
                  </w:pPr>
                </w:p>
              </w:tc>
              <w:tc>
                <w:tcPr>
                  <w:tcW w:w="1010" w:type="dxa"/>
                  <w:tcBorders>
                    <w:right w:val="single" w:color="auto" w:sz="4" w:space="0"/>
                  </w:tcBorders>
                </w:tcPr>
                <w:p w14:paraId="38C7C5B6">
                  <w:pPr>
                    <w:jc w:val="center"/>
                  </w:pPr>
                </w:p>
              </w:tc>
              <w:tc>
                <w:tcPr>
                  <w:tcW w:w="960" w:type="dxa"/>
                  <w:tcBorders>
                    <w:left w:val="single" w:color="auto" w:sz="4" w:space="0"/>
                  </w:tcBorders>
                </w:tcPr>
                <w:p w14:paraId="62F8AF4E">
                  <w:pPr>
                    <w:jc w:val="center"/>
                  </w:pPr>
                </w:p>
              </w:tc>
              <w:tc>
                <w:tcPr>
                  <w:tcW w:w="1290" w:type="dxa"/>
                  <w:tcBorders>
                    <w:left w:val="single" w:color="auto" w:sz="4" w:space="0"/>
                  </w:tcBorders>
                </w:tcPr>
                <w:p w14:paraId="796A3B85">
                  <w:pPr>
                    <w:jc w:val="center"/>
                  </w:pPr>
                </w:p>
              </w:tc>
            </w:tr>
          </w:tbl>
          <w:p w14:paraId="1CA83400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75105556">
      <w:pPr>
        <w:rPr>
          <w:rFonts w:asciiTheme="minorEastAsia" w:hAnsi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C989D"/>
    <w:multiLevelType w:val="singleLevel"/>
    <w:tmpl w:val="D4CC98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DF994B5"/>
    <w:multiLevelType w:val="singleLevel"/>
    <w:tmpl w:val="7DF994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172"/>
    <w:rsid w:val="00014698"/>
    <w:rsid w:val="000D71FA"/>
    <w:rsid w:val="000F583E"/>
    <w:rsid w:val="00100CD4"/>
    <w:rsid w:val="00126800"/>
    <w:rsid w:val="001315ED"/>
    <w:rsid w:val="00160E02"/>
    <w:rsid w:val="00184888"/>
    <w:rsid w:val="001A603C"/>
    <w:rsid w:val="001A72D8"/>
    <w:rsid w:val="002219F2"/>
    <w:rsid w:val="0024794A"/>
    <w:rsid w:val="002671E4"/>
    <w:rsid w:val="0027448B"/>
    <w:rsid w:val="00280074"/>
    <w:rsid w:val="002960CC"/>
    <w:rsid w:val="0029763E"/>
    <w:rsid w:val="002D00A5"/>
    <w:rsid w:val="0031789C"/>
    <w:rsid w:val="00320A95"/>
    <w:rsid w:val="003D59B4"/>
    <w:rsid w:val="003E22C9"/>
    <w:rsid w:val="00411A0A"/>
    <w:rsid w:val="00437802"/>
    <w:rsid w:val="004505A6"/>
    <w:rsid w:val="00471F06"/>
    <w:rsid w:val="004965EA"/>
    <w:rsid w:val="004E092C"/>
    <w:rsid w:val="00523505"/>
    <w:rsid w:val="005302B3"/>
    <w:rsid w:val="00572187"/>
    <w:rsid w:val="0066063E"/>
    <w:rsid w:val="00664028"/>
    <w:rsid w:val="00665446"/>
    <w:rsid w:val="0073413D"/>
    <w:rsid w:val="007345CD"/>
    <w:rsid w:val="00744E4C"/>
    <w:rsid w:val="00764FCE"/>
    <w:rsid w:val="007940EF"/>
    <w:rsid w:val="007A6332"/>
    <w:rsid w:val="007C4E77"/>
    <w:rsid w:val="007F2EB2"/>
    <w:rsid w:val="007F64E0"/>
    <w:rsid w:val="00830172"/>
    <w:rsid w:val="008542DE"/>
    <w:rsid w:val="00857AA0"/>
    <w:rsid w:val="00867EDD"/>
    <w:rsid w:val="0089048D"/>
    <w:rsid w:val="008B120E"/>
    <w:rsid w:val="008C1DBC"/>
    <w:rsid w:val="00967B26"/>
    <w:rsid w:val="009743E1"/>
    <w:rsid w:val="00977A60"/>
    <w:rsid w:val="009A516C"/>
    <w:rsid w:val="009C7C2F"/>
    <w:rsid w:val="009D0148"/>
    <w:rsid w:val="009E0C78"/>
    <w:rsid w:val="009F0219"/>
    <w:rsid w:val="009F4E01"/>
    <w:rsid w:val="00AE7986"/>
    <w:rsid w:val="00B437E5"/>
    <w:rsid w:val="00B77F2A"/>
    <w:rsid w:val="00B8031D"/>
    <w:rsid w:val="00BC4CDA"/>
    <w:rsid w:val="00C1275A"/>
    <w:rsid w:val="00CA24AB"/>
    <w:rsid w:val="00CD1AC2"/>
    <w:rsid w:val="00D879BE"/>
    <w:rsid w:val="00DC5255"/>
    <w:rsid w:val="00DE6799"/>
    <w:rsid w:val="00E2259F"/>
    <w:rsid w:val="00E81830"/>
    <w:rsid w:val="00E87F76"/>
    <w:rsid w:val="00EA030A"/>
    <w:rsid w:val="00F03E67"/>
    <w:rsid w:val="00F54B02"/>
    <w:rsid w:val="00FC564C"/>
    <w:rsid w:val="00FC7957"/>
    <w:rsid w:val="04076BFC"/>
    <w:rsid w:val="37662FAB"/>
    <w:rsid w:val="44C67E0D"/>
    <w:rsid w:val="56CC3503"/>
    <w:rsid w:val="5A6C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24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3"/>
    <w:uiPriority w:val="0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22"/>
    <w:uiPriority w:val="0"/>
    <w:pPr>
      <w:tabs>
        <w:tab w:val="center" w:pos="4320"/>
        <w:tab w:val="right" w:pos="8640"/>
      </w:tabs>
    </w:p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99"/>
    <w:pPr>
      <w:ind w:left="720"/>
      <w:contextualSpacing/>
    </w:pPr>
  </w:style>
  <w:style w:type="character" w:customStyle="1" w:styleId="13">
    <w:name w:val="Heading 2 Char"/>
    <w:basedOn w:val="9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katex-mathml"/>
    <w:basedOn w:val="9"/>
    <w:uiPriority w:val="0"/>
  </w:style>
  <w:style w:type="character" w:customStyle="1" w:styleId="15">
    <w:name w:val="mord"/>
    <w:basedOn w:val="9"/>
    <w:uiPriority w:val="0"/>
  </w:style>
  <w:style w:type="character" w:customStyle="1" w:styleId="16">
    <w:name w:val="mrel"/>
    <w:basedOn w:val="9"/>
    <w:uiPriority w:val="0"/>
  </w:style>
  <w:style w:type="character" w:customStyle="1" w:styleId="17">
    <w:name w:val="mbin"/>
    <w:basedOn w:val="9"/>
    <w:uiPriority w:val="0"/>
  </w:style>
  <w:style w:type="character" w:customStyle="1" w:styleId="18">
    <w:name w:val="mpunct"/>
    <w:basedOn w:val="9"/>
    <w:uiPriority w:val="0"/>
  </w:style>
  <w:style w:type="character" w:customStyle="1" w:styleId="19">
    <w:name w:val="vlist-s"/>
    <w:basedOn w:val="9"/>
    <w:uiPriority w:val="0"/>
  </w:style>
  <w:style w:type="character" w:customStyle="1" w:styleId="20">
    <w:name w:val="whitespace-normal"/>
    <w:basedOn w:val="9"/>
    <w:uiPriority w:val="0"/>
  </w:style>
  <w:style w:type="character" w:customStyle="1" w:styleId="21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22">
    <w:name w:val="Header Char"/>
    <w:basedOn w:val="9"/>
    <w:link w:val="5"/>
    <w:uiPriority w:val="0"/>
    <w:rPr>
      <w:kern w:val="2"/>
      <w:sz w:val="21"/>
      <w:szCs w:val="22"/>
    </w:rPr>
  </w:style>
  <w:style w:type="character" w:customStyle="1" w:styleId="23">
    <w:name w:val="Footer Char"/>
    <w:basedOn w:val="9"/>
    <w:link w:val="4"/>
    <w:uiPriority w:val="0"/>
    <w:rPr>
      <w:kern w:val="2"/>
      <w:sz w:val="21"/>
      <w:szCs w:val="22"/>
    </w:rPr>
  </w:style>
  <w:style w:type="character" w:customStyle="1" w:styleId="24">
    <w:name w:val="Heading 3 Char"/>
    <w:basedOn w:val="9"/>
    <w:link w:val="3"/>
    <w:semiHidden/>
    <w:uiPriority w:val="0"/>
    <w:rPr>
      <w:rFonts w:asciiTheme="majorHAnsi" w:hAnsiTheme="majorHAnsi" w:eastAsiaTheme="majorEastAsia" w:cstheme="majorBidi"/>
      <w:color w:val="1E386B" w:themeColor="accent1" w:themeShade="80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1188</Words>
  <Characters>1286</Characters>
  <Lines>12</Lines>
  <Paragraphs>3</Paragraphs>
  <TotalTime>12</TotalTime>
  <ScaleCrop>false</ScaleCrop>
  <LinksUpToDate>false</LinksUpToDate>
  <CharactersWithSpaces>1596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2025-11-06T07:17:00Z</dcterms:created>
  <dc:creator>pengx</dc:creator>
  <cp:lastModifiedBy>万腾远</cp:lastModifiedBy>
  <dcterms:modified xsi:type="dcterms:W3CDTF">2026-10-12T00:54:53Z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eyJoZGlkIjoiMGE2OGU2NWIwYjY2ODZjZTY5ODI0Y2Y3ZDU0MzY4NzMiLCJ1c2VySWQiOiIxNzk1MjcxMjI3In0=</vt:lpwstr>
  </property>
  <property fmtid="{D5CDD505-2E9C-101B-9397-08002B2CF9AE}" pid="4" name="ICV">
    <vt:lpwstr>B3FBA99E1DAA49D19386978ABFFB82DF_12</vt:lpwstr>
  </property>
</Properties>
</file>