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61C9F" w14:textId="77777777" w:rsidR="00FF731E" w:rsidRDefault="00FF731E"/>
    <w:tbl>
      <w:tblPr>
        <w:tblStyle w:val="a"/>
        <w:tblW w:w="10125" w:type="dxa"/>
        <w:tblInd w:w="15" w:type="dxa"/>
        <w:tblBorders>
          <w:top w:val="single" w:sz="8" w:space="0" w:color="29333D"/>
          <w:left w:val="single" w:sz="8" w:space="0" w:color="29333D"/>
          <w:bottom w:val="single" w:sz="8" w:space="0" w:color="29333D"/>
          <w:right w:val="single" w:sz="8" w:space="0" w:color="29333D"/>
          <w:insideH w:val="single" w:sz="8" w:space="0" w:color="29333D"/>
          <w:insideV w:val="single" w:sz="8" w:space="0" w:color="29333D"/>
        </w:tblBorders>
        <w:tblLayout w:type="fixed"/>
        <w:tblLook w:val="0600" w:firstRow="0" w:lastRow="0" w:firstColumn="0" w:lastColumn="0" w:noHBand="1" w:noVBand="1"/>
      </w:tblPr>
      <w:tblGrid>
        <w:gridCol w:w="2580"/>
        <w:gridCol w:w="2835"/>
        <w:gridCol w:w="2940"/>
        <w:gridCol w:w="1770"/>
      </w:tblGrid>
      <w:tr w:rsidR="00FF731E" w14:paraId="4885782F" w14:textId="77777777">
        <w:trPr>
          <w:trHeight w:val="225"/>
          <w:tblHeader/>
        </w:trPr>
        <w:tc>
          <w:tcPr>
            <w:tcW w:w="258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4794C512" w14:textId="77777777" w:rsidR="00FF731E" w:rsidRDefault="00FF731E">
            <w:pPr>
              <w:pStyle w:val="Heading4"/>
              <w:rPr>
                <w:sz w:val="22"/>
                <w:szCs w:val="22"/>
              </w:rPr>
            </w:pPr>
            <w:bookmarkStart w:id="0" w:name="_65x1p9c8h3l0" w:colFirst="0" w:colLast="0"/>
            <w:bookmarkEnd w:id="0"/>
          </w:p>
          <w:p w14:paraId="31591E0E" w14:textId="77777777" w:rsidR="00FF731E" w:rsidRDefault="00000000">
            <w:pPr>
              <w:pStyle w:val="Heading4"/>
              <w:jc w:val="center"/>
              <w:rPr>
                <w:sz w:val="22"/>
                <w:szCs w:val="22"/>
              </w:rPr>
            </w:pPr>
            <w:bookmarkStart w:id="1" w:name="_aai6dyz0egup" w:colFirst="0" w:colLast="0"/>
            <w:bookmarkEnd w:id="1"/>
            <w:r>
              <w:rPr>
                <w:sz w:val="22"/>
                <w:szCs w:val="22"/>
              </w:rPr>
              <w:t>FULL LEGAL NAME</w:t>
            </w:r>
          </w:p>
        </w:tc>
        <w:tc>
          <w:tcPr>
            <w:tcW w:w="2835"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42E2C2BF" w14:textId="77777777" w:rsidR="00FF731E" w:rsidRDefault="00FF731E">
            <w:pPr>
              <w:widowControl w:val="0"/>
              <w:spacing w:line="240" w:lineRule="auto"/>
              <w:jc w:val="center"/>
              <w:rPr>
                <w:b/>
                <w:color w:val="FFFFFF"/>
                <w:sz w:val="22"/>
                <w:szCs w:val="22"/>
              </w:rPr>
            </w:pPr>
          </w:p>
          <w:p w14:paraId="1055F40E" w14:textId="77777777" w:rsidR="00FF731E" w:rsidRDefault="00000000">
            <w:pPr>
              <w:widowControl w:val="0"/>
              <w:spacing w:line="240" w:lineRule="auto"/>
              <w:jc w:val="center"/>
              <w:rPr>
                <w:sz w:val="26"/>
                <w:szCs w:val="26"/>
              </w:rPr>
            </w:pPr>
            <w:r>
              <w:rPr>
                <w:b/>
                <w:color w:val="FFFFFF"/>
                <w:sz w:val="22"/>
                <w:szCs w:val="22"/>
              </w:rPr>
              <w:t>LOCATION (COUNTRY)</w:t>
            </w:r>
          </w:p>
        </w:tc>
        <w:tc>
          <w:tcPr>
            <w:tcW w:w="294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4C806852" w14:textId="77777777" w:rsidR="00FF731E" w:rsidRDefault="00FF731E">
            <w:pPr>
              <w:widowControl w:val="0"/>
              <w:spacing w:line="240" w:lineRule="auto"/>
              <w:jc w:val="center"/>
              <w:rPr>
                <w:b/>
                <w:color w:val="FFFFFF"/>
                <w:sz w:val="22"/>
                <w:szCs w:val="22"/>
              </w:rPr>
            </w:pPr>
          </w:p>
          <w:p w14:paraId="752EE435" w14:textId="77777777" w:rsidR="00FF731E" w:rsidRDefault="00000000">
            <w:pPr>
              <w:widowControl w:val="0"/>
              <w:spacing w:line="240" w:lineRule="auto"/>
              <w:jc w:val="center"/>
              <w:rPr>
                <w:sz w:val="26"/>
                <w:szCs w:val="26"/>
              </w:rPr>
            </w:pPr>
            <w:r>
              <w:rPr>
                <w:b/>
                <w:color w:val="FFFFFF"/>
                <w:sz w:val="22"/>
                <w:szCs w:val="22"/>
              </w:rPr>
              <w:t>EMAIL ADDRESS</w:t>
            </w:r>
          </w:p>
        </w:tc>
        <w:tc>
          <w:tcPr>
            <w:tcW w:w="177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22F5BDF7" w14:textId="77777777" w:rsidR="00FF731E" w:rsidRDefault="00000000">
            <w:pPr>
              <w:widowControl w:val="0"/>
              <w:spacing w:line="240" w:lineRule="auto"/>
              <w:jc w:val="center"/>
              <w:rPr>
                <w:b/>
                <w:color w:val="FFFFFF"/>
                <w:sz w:val="16"/>
                <w:szCs w:val="16"/>
              </w:rPr>
            </w:pPr>
            <w:r>
              <w:rPr>
                <w:b/>
                <w:color w:val="FFFFFF"/>
                <w:sz w:val="16"/>
                <w:szCs w:val="16"/>
              </w:rPr>
              <w:t>MARK X FOR ANY NON-CONTRIBUTING MEMBER</w:t>
            </w:r>
          </w:p>
        </w:tc>
      </w:tr>
      <w:tr w:rsidR="00FF731E" w14:paraId="4C569422"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0798B" w14:textId="77777777" w:rsidR="00FF731E" w:rsidRDefault="00FF731E">
            <w:pPr>
              <w:spacing w:line="240" w:lineRule="auto"/>
              <w:rPr>
                <w:rFonts w:ascii="Calibri" w:eastAsia="Calibri" w:hAnsi="Calibri" w:cs="Calibri"/>
                <w:color w:val="000000"/>
                <w:sz w:val="20"/>
                <w:szCs w:val="20"/>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3947F" w14:textId="77777777" w:rsidR="00FF731E" w:rsidRDefault="00FF731E">
            <w:pPr>
              <w:spacing w:line="240" w:lineRule="auto"/>
              <w:rPr>
                <w:rFonts w:ascii="Calibri" w:eastAsia="Calibri" w:hAnsi="Calibri" w:cs="Calibri"/>
                <w:color w:val="000000"/>
                <w:sz w:val="20"/>
                <w:szCs w:val="20"/>
              </w:rPr>
            </w:pP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4C585" w14:textId="77777777" w:rsidR="00FF731E" w:rsidRDefault="00FF731E">
            <w:pPr>
              <w:spacing w:line="240" w:lineRule="auto"/>
              <w:rPr>
                <w:rFonts w:ascii="Calibri" w:eastAsia="Calibri" w:hAnsi="Calibri" w:cs="Calibri"/>
                <w:color w:val="000000"/>
                <w:sz w:val="20"/>
                <w:szCs w:val="20"/>
              </w:rPr>
            </w:pP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A630B" w14:textId="77777777" w:rsidR="00FF731E" w:rsidRDefault="00FF731E">
            <w:pPr>
              <w:spacing w:line="240" w:lineRule="auto"/>
              <w:ind w:left="270"/>
              <w:jc w:val="center"/>
              <w:rPr>
                <w:rFonts w:ascii="Calibri" w:eastAsia="Calibri" w:hAnsi="Calibri" w:cs="Calibri"/>
                <w:color w:val="000000"/>
                <w:sz w:val="20"/>
                <w:szCs w:val="20"/>
              </w:rPr>
            </w:pPr>
          </w:p>
        </w:tc>
      </w:tr>
      <w:tr w:rsidR="00FF731E" w14:paraId="3851518A"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DAED9" w14:textId="77777777" w:rsidR="00FF731E" w:rsidRDefault="00FF731E">
            <w:pPr>
              <w:spacing w:line="240" w:lineRule="auto"/>
              <w:rPr>
                <w:rFonts w:ascii="Calibri" w:eastAsia="Calibri" w:hAnsi="Calibri" w:cs="Calibri"/>
                <w:color w:val="000000"/>
                <w:sz w:val="20"/>
                <w:szCs w:val="20"/>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99425" w14:textId="77777777" w:rsidR="00FF731E" w:rsidRDefault="00FF731E">
            <w:pPr>
              <w:spacing w:line="240" w:lineRule="auto"/>
              <w:rPr>
                <w:rFonts w:ascii="Calibri" w:eastAsia="Calibri" w:hAnsi="Calibri" w:cs="Calibri"/>
                <w:color w:val="000000"/>
                <w:sz w:val="20"/>
                <w:szCs w:val="20"/>
              </w:rPr>
            </w:pP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53D0F" w14:textId="77777777" w:rsidR="00FF731E" w:rsidRDefault="00FF731E">
            <w:pPr>
              <w:spacing w:line="240" w:lineRule="auto"/>
              <w:rPr>
                <w:rFonts w:ascii="Calibri" w:eastAsia="Calibri" w:hAnsi="Calibri" w:cs="Calibri"/>
                <w:color w:val="000000"/>
                <w:sz w:val="20"/>
                <w:szCs w:val="20"/>
              </w:rPr>
            </w:pP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45EB0" w14:textId="77777777" w:rsidR="00FF731E" w:rsidRDefault="00FF731E">
            <w:pPr>
              <w:spacing w:line="240" w:lineRule="auto"/>
              <w:jc w:val="center"/>
              <w:rPr>
                <w:rFonts w:ascii="Calibri" w:eastAsia="Calibri" w:hAnsi="Calibri" w:cs="Calibri"/>
                <w:color w:val="000000"/>
                <w:sz w:val="20"/>
                <w:szCs w:val="20"/>
              </w:rPr>
            </w:pPr>
          </w:p>
        </w:tc>
      </w:tr>
      <w:tr w:rsidR="00FF731E" w14:paraId="27641C03"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1FF8A" w14:textId="77777777" w:rsidR="00FF731E" w:rsidRDefault="00FF731E">
            <w:pPr>
              <w:spacing w:line="240" w:lineRule="auto"/>
              <w:rPr>
                <w:rFonts w:ascii="Calibri" w:eastAsia="Calibri" w:hAnsi="Calibri" w:cs="Calibri"/>
                <w:color w:val="000000"/>
                <w:sz w:val="20"/>
                <w:szCs w:val="20"/>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513E5" w14:textId="77777777" w:rsidR="00FF731E" w:rsidRDefault="00FF731E">
            <w:pPr>
              <w:spacing w:line="240" w:lineRule="auto"/>
              <w:rPr>
                <w:rFonts w:ascii="Calibri" w:eastAsia="Calibri" w:hAnsi="Calibri" w:cs="Calibri"/>
                <w:color w:val="000000"/>
                <w:sz w:val="20"/>
                <w:szCs w:val="20"/>
              </w:rPr>
            </w:pP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90BF6" w14:textId="77777777" w:rsidR="00FF731E" w:rsidRDefault="00FF731E">
            <w:pPr>
              <w:spacing w:line="240" w:lineRule="auto"/>
              <w:rPr>
                <w:rFonts w:ascii="Calibri" w:eastAsia="Calibri" w:hAnsi="Calibri" w:cs="Calibri"/>
                <w:color w:val="000000"/>
                <w:sz w:val="20"/>
                <w:szCs w:val="20"/>
              </w:rPr>
            </w:pP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CB90D" w14:textId="77777777" w:rsidR="00FF731E" w:rsidRDefault="00FF731E">
            <w:pPr>
              <w:spacing w:line="240" w:lineRule="auto"/>
              <w:jc w:val="center"/>
              <w:rPr>
                <w:rFonts w:ascii="Calibri" w:eastAsia="Calibri" w:hAnsi="Calibri" w:cs="Calibri"/>
                <w:color w:val="000000"/>
                <w:sz w:val="20"/>
                <w:szCs w:val="20"/>
              </w:rPr>
            </w:pPr>
          </w:p>
        </w:tc>
      </w:tr>
    </w:tbl>
    <w:p w14:paraId="46937555" w14:textId="77777777" w:rsidR="00FF731E" w:rsidRDefault="00FF731E">
      <w:pPr>
        <w:rPr>
          <w:rFonts w:ascii="Calibri" w:eastAsia="Calibri" w:hAnsi="Calibri" w:cs="Calibri"/>
          <w:color w:val="41395F"/>
        </w:rPr>
      </w:pPr>
    </w:p>
    <w:p w14:paraId="22091A58" w14:textId="77777777" w:rsidR="00FF731E" w:rsidRDefault="00FF731E">
      <w:pPr>
        <w:rPr>
          <w:rFonts w:ascii="Calibri" w:eastAsia="Calibri" w:hAnsi="Calibri" w:cs="Calibri"/>
          <w:b/>
          <w:color w:val="41395F"/>
        </w:rPr>
      </w:pPr>
    </w:p>
    <w:tbl>
      <w:tblPr>
        <w:tblStyle w:val="a0"/>
        <w:tblW w:w="102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160"/>
      </w:tblGrid>
      <w:tr w:rsidR="00FF731E" w14:paraId="23637E85" w14:textId="77777777">
        <w:trPr>
          <w:trHeight w:val="440"/>
        </w:trPr>
        <w:tc>
          <w:tcPr>
            <w:tcW w:w="10200" w:type="dxa"/>
            <w:gridSpan w:val="2"/>
            <w:tcBorders>
              <w:top w:val="single" w:sz="8" w:space="0" w:color="29333D"/>
              <w:left w:val="single" w:sz="8" w:space="0" w:color="29333D"/>
              <w:bottom w:val="single" w:sz="8" w:space="0" w:color="29333D"/>
              <w:right w:val="single" w:sz="8" w:space="0" w:color="29333D"/>
            </w:tcBorders>
            <w:shd w:val="clear" w:color="auto" w:fill="41395F"/>
            <w:tcMar>
              <w:top w:w="100" w:type="dxa"/>
              <w:left w:w="100" w:type="dxa"/>
              <w:bottom w:w="100" w:type="dxa"/>
              <w:right w:w="100" w:type="dxa"/>
            </w:tcMar>
          </w:tcPr>
          <w:p w14:paraId="52445AFD" w14:textId="77777777" w:rsidR="00FF731E" w:rsidRDefault="00000000">
            <w:pPr>
              <w:widowControl w:val="0"/>
              <w:spacing w:line="240" w:lineRule="auto"/>
              <w:rPr>
                <w:color w:val="FFFFFF"/>
              </w:rPr>
            </w:pPr>
            <w:r>
              <w:rPr>
                <w:b/>
                <w:color w:val="FFFFFF"/>
              </w:rPr>
              <w:t xml:space="preserve">Statement of integrity: </w:t>
            </w:r>
            <w:r>
              <w:rPr>
                <w:color w:val="FFFFFF"/>
              </w:rPr>
              <w:t>By typing the names of all group members in the text boxes below, you confirm that the assignment submitted is original work produced by the group (excluding any non-contributing members identified with an “X” above).</w:t>
            </w:r>
          </w:p>
        </w:tc>
      </w:tr>
      <w:tr w:rsidR="00FF731E" w14:paraId="4A3D3013" w14:textId="77777777">
        <w:tc>
          <w:tcPr>
            <w:tcW w:w="2040" w:type="dxa"/>
            <w:tcBorders>
              <w:top w:val="single" w:sz="8" w:space="0" w:color="29333D"/>
            </w:tcBorders>
            <w:shd w:val="clear" w:color="auto" w:fill="EDEDED"/>
            <w:tcMar>
              <w:top w:w="100" w:type="dxa"/>
              <w:left w:w="100" w:type="dxa"/>
              <w:bottom w:w="100" w:type="dxa"/>
              <w:right w:w="100" w:type="dxa"/>
            </w:tcMar>
          </w:tcPr>
          <w:p w14:paraId="3AF9694B" w14:textId="77777777" w:rsidR="00FF731E" w:rsidRDefault="00000000">
            <w:pPr>
              <w:widowControl w:val="0"/>
              <w:pBdr>
                <w:top w:val="nil"/>
                <w:left w:val="nil"/>
                <w:bottom w:val="nil"/>
                <w:right w:val="nil"/>
                <w:between w:val="nil"/>
              </w:pBdr>
              <w:spacing w:line="240" w:lineRule="auto"/>
              <w:rPr>
                <w:b/>
                <w:sz w:val="22"/>
                <w:szCs w:val="22"/>
              </w:rPr>
            </w:pPr>
            <w:r>
              <w:rPr>
                <w:b/>
                <w:sz w:val="22"/>
                <w:szCs w:val="22"/>
              </w:rPr>
              <w:t>Team member 1</w:t>
            </w:r>
          </w:p>
        </w:tc>
        <w:tc>
          <w:tcPr>
            <w:tcW w:w="8160" w:type="dxa"/>
            <w:tcBorders>
              <w:top w:val="single" w:sz="8" w:space="0" w:color="29333D"/>
            </w:tcBorders>
            <w:tcMar>
              <w:top w:w="100" w:type="dxa"/>
              <w:left w:w="100" w:type="dxa"/>
              <w:bottom w:w="100" w:type="dxa"/>
              <w:right w:w="100" w:type="dxa"/>
            </w:tcMar>
          </w:tcPr>
          <w:p w14:paraId="0D4925D6" w14:textId="77777777" w:rsidR="00FF731E" w:rsidRDefault="00FF731E">
            <w:pPr>
              <w:widowControl w:val="0"/>
              <w:pBdr>
                <w:top w:val="nil"/>
                <w:left w:val="nil"/>
                <w:bottom w:val="nil"/>
                <w:right w:val="nil"/>
                <w:between w:val="nil"/>
              </w:pBdr>
              <w:spacing w:line="240" w:lineRule="auto"/>
              <w:rPr>
                <w:b/>
                <w:color w:val="41395F"/>
                <w:sz w:val="22"/>
                <w:szCs w:val="22"/>
              </w:rPr>
            </w:pPr>
          </w:p>
        </w:tc>
      </w:tr>
      <w:tr w:rsidR="00FF731E" w14:paraId="5D715A11" w14:textId="77777777">
        <w:tc>
          <w:tcPr>
            <w:tcW w:w="2040" w:type="dxa"/>
            <w:shd w:val="clear" w:color="auto" w:fill="EDEDED"/>
            <w:tcMar>
              <w:top w:w="100" w:type="dxa"/>
              <w:left w:w="100" w:type="dxa"/>
              <w:bottom w:w="100" w:type="dxa"/>
              <w:right w:w="100" w:type="dxa"/>
            </w:tcMar>
          </w:tcPr>
          <w:p w14:paraId="286A1E9F" w14:textId="77777777" w:rsidR="00FF731E" w:rsidRDefault="00000000">
            <w:pPr>
              <w:widowControl w:val="0"/>
              <w:pBdr>
                <w:top w:val="nil"/>
                <w:left w:val="nil"/>
                <w:bottom w:val="nil"/>
                <w:right w:val="nil"/>
                <w:between w:val="nil"/>
              </w:pBdr>
              <w:spacing w:line="240" w:lineRule="auto"/>
              <w:rPr>
                <w:b/>
                <w:sz w:val="22"/>
                <w:szCs w:val="22"/>
              </w:rPr>
            </w:pPr>
            <w:r>
              <w:rPr>
                <w:b/>
                <w:sz w:val="22"/>
                <w:szCs w:val="22"/>
              </w:rPr>
              <w:t>Team member 2</w:t>
            </w:r>
          </w:p>
        </w:tc>
        <w:tc>
          <w:tcPr>
            <w:tcW w:w="8160" w:type="dxa"/>
            <w:tcMar>
              <w:top w:w="100" w:type="dxa"/>
              <w:left w:w="100" w:type="dxa"/>
              <w:bottom w:w="100" w:type="dxa"/>
              <w:right w:w="100" w:type="dxa"/>
            </w:tcMar>
          </w:tcPr>
          <w:p w14:paraId="0A258BD0" w14:textId="77777777" w:rsidR="00FF731E" w:rsidRDefault="00FF731E">
            <w:pPr>
              <w:widowControl w:val="0"/>
              <w:pBdr>
                <w:top w:val="nil"/>
                <w:left w:val="nil"/>
                <w:bottom w:val="nil"/>
                <w:right w:val="nil"/>
                <w:between w:val="nil"/>
              </w:pBdr>
              <w:spacing w:line="240" w:lineRule="auto"/>
              <w:rPr>
                <w:b/>
                <w:color w:val="41395F"/>
                <w:sz w:val="22"/>
                <w:szCs w:val="22"/>
              </w:rPr>
            </w:pPr>
          </w:p>
        </w:tc>
      </w:tr>
      <w:tr w:rsidR="00FF731E" w14:paraId="064D470D" w14:textId="77777777">
        <w:tc>
          <w:tcPr>
            <w:tcW w:w="2040" w:type="dxa"/>
            <w:shd w:val="clear" w:color="auto" w:fill="EDEDED"/>
            <w:tcMar>
              <w:top w:w="100" w:type="dxa"/>
              <w:left w:w="100" w:type="dxa"/>
              <w:bottom w:w="100" w:type="dxa"/>
              <w:right w:w="100" w:type="dxa"/>
            </w:tcMar>
          </w:tcPr>
          <w:p w14:paraId="60991E28" w14:textId="77777777" w:rsidR="00FF731E" w:rsidRDefault="00000000">
            <w:pPr>
              <w:widowControl w:val="0"/>
              <w:pBdr>
                <w:top w:val="nil"/>
                <w:left w:val="nil"/>
                <w:bottom w:val="nil"/>
                <w:right w:val="nil"/>
                <w:between w:val="nil"/>
              </w:pBdr>
              <w:spacing w:line="240" w:lineRule="auto"/>
              <w:rPr>
                <w:b/>
                <w:sz w:val="22"/>
                <w:szCs w:val="22"/>
              </w:rPr>
            </w:pPr>
            <w:r>
              <w:rPr>
                <w:b/>
                <w:sz w:val="22"/>
                <w:szCs w:val="22"/>
              </w:rPr>
              <w:t>Team member 3</w:t>
            </w:r>
          </w:p>
        </w:tc>
        <w:tc>
          <w:tcPr>
            <w:tcW w:w="8160" w:type="dxa"/>
            <w:tcMar>
              <w:top w:w="100" w:type="dxa"/>
              <w:left w:w="100" w:type="dxa"/>
              <w:bottom w:w="100" w:type="dxa"/>
              <w:right w:w="100" w:type="dxa"/>
            </w:tcMar>
          </w:tcPr>
          <w:p w14:paraId="6D26D885" w14:textId="77777777" w:rsidR="00FF731E" w:rsidRDefault="00FF731E">
            <w:pPr>
              <w:widowControl w:val="0"/>
              <w:pBdr>
                <w:top w:val="nil"/>
                <w:left w:val="nil"/>
                <w:bottom w:val="nil"/>
                <w:right w:val="nil"/>
                <w:between w:val="nil"/>
              </w:pBdr>
              <w:spacing w:line="240" w:lineRule="auto"/>
              <w:rPr>
                <w:b/>
                <w:color w:val="41395F"/>
                <w:sz w:val="22"/>
                <w:szCs w:val="22"/>
              </w:rPr>
            </w:pPr>
          </w:p>
        </w:tc>
      </w:tr>
    </w:tbl>
    <w:p w14:paraId="5DAB8461" w14:textId="77777777" w:rsidR="00FF731E" w:rsidRDefault="00FF731E"/>
    <w:p w14:paraId="18026218" w14:textId="77777777" w:rsidR="00FF731E" w:rsidRDefault="00FF731E"/>
    <w:tbl>
      <w:tblPr>
        <w:tblStyle w:val="a1"/>
        <w:tblW w:w="101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85"/>
      </w:tblGrid>
      <w:tr w:rsidR="00FF731E" w14:paraId="3C8E9CCC" w14:textId="77777777">
        <w:tc>
          <w:tcPr>
            <w:tcW w:w="10185" w:type="dxa"/>
            <w:shd w:val="clear" w:color="auto" w:fill="41395F"/>
            <w:tcMar>
              <w:top w:w="100" w:type="dxa"/>
              <w:left w:w="100" w:type="dxa"/>
              <w:bottom w:w="100" w:type="dxa"/>
              <w:right w:w="100" w:type="dxa"/>
            </w:tcMar>
          </w:tcPr>
          <w:p w14:paraId="2E79F8EE" w14:textId="77777777" w:rsidR="00FF731E" w:rsidRDefault="00000000">
            <w:pPr>
              <w:widowControl w:val="0"/>
              <w:pBdr>
                <w:top w:val="nil"/>
                <w:left w:val="nil"/>
                <w:bottom w:val="nil"/>
                <w:right w:val="nil"/>
                <w:between w:val="nil"/>
              </w:pBdr>
              <w:spacing w:line="240" w:lineRule="auto"/>
              <w:rPr>
                <w:color w:val="FFFFFF"/>
                <w:sz w:val="22"/>
                <w:szCs w:val="22"/>
              </w:rPr>
            </w:pPr>
            <w:r>
              <w:rPr>
                <w:color w:val="FFFFFF"/>
                <w:sz w:val="22"/>
                <w:szCs w:val="22"/>
              </w:rPr>
              <w:t xml:space="preserve">Use the box below to explain any attempts to reach out to a non-contributing member. Type (N/A) if all members contributed. </w:t>
            </w:r>
          </w:p>
          <w:p w14:paraId="184F7D82" w14:textId="77777777" w:rsidR="00FF731E" w:rsidRDefault="00000000">
            <w:pPr>
              <w:widowControl w:val="0"/>
              <w:pBdr>
                <w:top w:val="nil"/>
                <w:left w:val="nil"/>
                <w:bottom w:val="nil"/>
                <w:right w:val="nil"/>
                <w:between w:val="nil"/>
              </w:pBdr>
              <w:spacing w:line="240" w:lineRule="auto"/>
              <w:rPr>
                <w:color w:val="FFFFFF"/>
                <w:sz w:val="22"/>
                <w:szCs w:val="22"/>
              </w:rPr>
            </w:pPr>
            <w:r>
              <w:rPr>
                <w:b/>
                <w:color w:val="FFFFFF"/>
                <w:sz w:val="22"/>
                <w:szCs w:val="22"/>
              </w:rPr>
              <w:t xml:space="preserve">Note: </w:t>
            </w:r>
            <w:r>
              <w:rPr>
                <w:color w:val="FFFFFF"/>
                <w:sz w:val="22"/>
                <w:szCs w:val="22"/>
              </w:rPr>
              <w:t>You may be required to provide proof of your outreach to non-contributing members upon request.</w:t>
            </w:r>
          </w:p>
        </w:tc>
      </w:tr>
      <w:tr w:rsidR="00FF731E" w14:paraId="35A5E3F4" w14:textId="77777777">
        <w:tc>
          <w:tcPr>
            <w:tcW w:w="10185" w:type="dxa"/>
            <w:tcMar>
              <w:top w:w="100" w:type="dxa"/>
              <w:left w:w="100" w:type="dxa"/>
              <w:bottom w:w="100" w:type="dxa"/>
              <w:right w:w="100" w:type="dxa"/>
            </w:tcMar>
          </w:tcPr>
          <w:p w14:paraId="46221D45" w14:textId="77777777" w:rsidR="00FF731E" w:rsidRDefault="00FF731E">
            <w:pPr>
              <w:widowControl w:val="0"/>
              <w:pBdr>
                <w:top w:val="nil"/>
                <w:left w:val="nil"/>
                <w:bottom w:val="nil"/>
                <w:right w:val="nil"/>
                <w:between w:val="nil"/>
              </w:pBdr>
              <w:spacing w:line="240" w:lineRule="auto"/>
              <w:rPr>
                <w:sz w:val="22"/>
                <w:szCs w:val="22"/>
              </w:rPr>
            </w:pPr>
          </w:p>
          <w:p w14:paraId="25C9ADC5" w14:textId="77777777" w:rsidR="00FF731E" w:rsidRDefault="00FF731E">
            <w:pPr>
              <w:widowControl w:val="0"/>
              <w:pBdr>
                <w:top w:val="nil"/>
                <w:left w:val="nil"/>
                <w:bottom w:val="nil"/>
                <w:right w:val="nil"/>
                <w:between w:val="nil"/>
              </w:pBdr>
              <w:spacing w:line="240" w:lineRule="auto"/>
              <w:rPr>
                <w:sz w:val="22"/>
                <w:szCs w:val="22"/>
              </w:rPr>
            </w:pPr>
          </w:p>
          <w:p w14:paraId="451C1FE7" w14:textId="77777777" w:rsidR="00FF731E" w:rsidRDefault="00FF731E">
            <w:pPr>
              <w:widowControl w:val="0"/>
              <w:pBdr>
                <w:top w:val="nil"/>
                <w:left w:val="nil"/>
                <w:bottom w:val="nil"/>
                <w:right w:val="nil"/>
                <w:between w:val="nil"/>
              </w:pBdr>
              <w:spacing w:line="240" w:lineRule="auto"/>
              <w:rPr>
                <w:sz w:val="22"/>
                <w:szCs w:val="22"/>
              </w:rPr>
            </w:pPr>
          </w:p>
          <w:p w14:paraId="6300C9BE" w14:textId="77777777" w:rsidR="00FF731E" w:rsidRDefault="00FF731E">
            <w:pPr>
              <w:widowControl w:val="0"/>
              <w:pBdr>
                <w:top w:val="nil"/>
                <w:left w:val="nil"/>
                <w:bottom w:val="nil"/>
                <w:right w:val="nil"/>
                <w:between w:val="nil"/>
              </w:pBdr>
              <w:spacing w:line="240" w:lineRule="auto"/>
              <w:rPr>
                <w:sz w:val="22"/>
                <w:szCs w:val="22"/>
              </w:rPr>
            </w:pPr>
          </w:p>
          <w:p w14:paraId="30485C49" w14:textId="77777777" w:rsidR="00FF731E" w:rsidRDefault="00FF731E">
            <w:pPr>
              <w:widowControl w:val="0"/>
              <w:pBdr>
                <w:top w:val="nil"/>
                <w:left w:val="nil"/>
                <w:bottom w:val="nil"/>
                <w:right w:val="nil"/>
                <w:between w:val="nil"/>
              </w:pBdr>
              <w:spacing w:line="240" w:lineRule="auto"/>
              <w:rPr>
                <w:sz w:val="22"/>
                <w:szCs w:val="22"/>
              </w:rPr>
            </w:pPr>
          </w:p>
          <w:p w14:paraId="63092353" w14:textId="77777777" w:rsidR="00FF731E" w:rsidRDefault="00FF731E">
            <w:pPr>
              <w:widowControl w:val="0"/>
              <w:pBdr>
                <w:top w:val="nil"/>
                <w:left w:val="nil"/>
                <w:bottom w:val="nil"/>
                <w:right w:val="nil"/>
                <w:between w:val="nil"/>
              </w:pBdr>
              <w:spacing w:line="240" w:lineRule="auto"/>
              <w:rPr>
                <w:sz w:val="22"/>
                <w:szCs w:val="22"/>
              </w:rPr>
            </w:pPr>
          </w:p>
          <w:p w14:paraId="709D19F1" w14:textId="77777777" w:rsidR="00FF731E" w:rsidRDefault="00FF731E">
            <w:pPr>
              <w:widowControl w:val="0"/>
              <w:pBdr>
                <w:top w:val="nil"/>
                <w:left w:val="nil"/>
                <w:bottom w:val="nil"/>
                <w:right w:val="nil"/>
                <w:between w:val="nil"/>
              </w:pBdr>
              <w:spacing w:line="240" w:lineRule="auto"/>
              <w:rPr>
                <w:sz w:val="22"/>
                <w:szCs w:val="22"/>
              </w:rPr>
            </w:pPr>
          </w:p>
          <w:p w14:paraId="55F916E1" w14:textId="77777777" w:rsidR="00FF731E" w:rsidRDefault="00FF731E">
            <w:pPr>
              <w:widowControl w:val="0"/>
              <w:pBdr>
                <w:top w:val="nil"/>
                <w:left w:val="nil"/>
                <w:bottom w:val="nil"/>
                <w:right w:val="nil"/>
                <w:between w:val="nil"/>
              </w:pBdr>
              <w:spacing w:line="240" w:lineRule="auto"/>
              <w:rPr>
                <w:sz w:val="22"/>
                <w:szCs w:val="22"/>
              </w:rPr>
            </w:pPr>
          </w:p>
          <w:p w14:paraId="4FEF97F8" w14:textId="77777777" w:rsidR="00FF731E" w:rsidRDefault="00FF731E">
            <w:pPr>
              <w:widowControl w:val="0"/>
              <w:pBdr>
                <w:top w:val="nil"/>
                <w:left w:val="nil"/>
                <w:bottom w:val="nil"/>
                <w:right w:val="nil"/>
                <w:between w:val="nil"/>
              </w:pBdr>
              <w:spacing w:line="240" w:lineRule="auto"/>
              <w:rPr>
                <w:sz w:val="22"/>
                <w:szCs w:val="22"/>
              </w:rPr>
            </w:pPr>
          </w:p>
        </w:tc>
      </w:tr>
    </w:tbl>
    <w:p w14:paraId="5BB2371D" w14:textId="53AA5FF5" w:rsidR="00FF731E" w:rsidRDefault="00FF731E" w:rsidP="00B52027"/>
    <w:p w14:paraId="34393754" w14:textId="77777777" w:rsidR="00B52027" w:rsidRDefault="00B52027" w:rsidP="00B52027"/>
    <w:p w14:paraId="7EFB70B2" w14:textId="77777777" w:rsidR="00B52027" w:rsidRDefault="00B52027" w:rsidP="00B52027"/>
    <w:p w14:paraId="582BAE54" w14:textId="77777777" w:rsidR="00B01E4B" w:rsidRDefault="00B01E4B" w:rsidP="00A8416F">
      <w:pPr>
        <w:rPr>
          <w:rFonts w:ascii="Calibri" w:eastAsia="Calibri" w:hAnsi="Calibri" w:cs="Calibri"/>
          <w:b/>
          <w:bCs/>
          <w:color w:val="000000" w:themeColor="text1"/>
          <w:u w:val="single"/>
        </w:rPr>
      </w:pPr>
    </w:p>
    <w:p w14:paraId="1ECBABAD" w14:textId="77777777" w:rsidR="00B01E4B" w:rsidRPr="00D269C2" w:rsidRDefault="00B01E4B" w:rsidP="00A8416F">
      <w:pPr>
        <w:jc w:val="both"/>
        <w:rPr>
          <w:rFonts w:ascii="Calibri" w:eastAsia="Calibri" w:hAnsi="Calibri" w:cs="Calibri"/>
          <w:b/>
          <w:bCs/>
          <w:color w:val="000000" w:themeColor="text1"/>
          <w:sz w:val="22"/>
          <w:szCs w:val="22"/>
          <w:u w:val="single"/>
        </w:rPr>
      </w:pPr>
      <w:r w:rsidRPr="00D269C2">
        <w:rPr>
          <w:rFonts w:ascii="Calibri" w:eastAsia="Calibri" w:hAnsi="Calibri" w:cs="Calibri"/>
          <w:b/>
          <w:bCs/>
          <w:color w:val="000000" w:themeColor="text1"/>
          <w:sz w:val="22"/>
          <w:szCs w:val="22"/>
          <w:u w:val="single"/>
        </w:rPr>
        <w:t xml:space="preserve">Task 1 </w:t>
      </w:r>
    </w:p>
    <w:p w14:paraId="0685D98D" w14:textId="77777777" w:rsidR="00B01E4B" w:rsidRPr="00D269C2" w:rsidRDefault="00B01E4B" w:rsidP="00A8416F">
      <w:pPr>
        <w:pStyle w:val="HTMLPreformatted"/>
        <w:spacing w:line="244" w:lineRule="atLeast"/>
        <w:jc w:val="both"/>
        <w:rPr>
          <w:rFonts w:ascii="Calibri" w:hAnsi="Calibri"/>
          <w:sz w:val="22"/>
          <w:szCs w:val="22"/>
        </w:rPr>
      </w:pPr>
      <w:r w:rsidRPr="00D269C2">
        <w:rPr>
          <w:rFonts w:ascii="Calibri" w:hAnsi="Calibri"/>
          <w:b/>
          <w:i/>
          <w:sz w:val="22"/>
          <w:szCs w:val="22"/>
        </w:rPr>
        <w:t xml:space="preserve">b. </w:t>
      </w:r>
      <w:r w:rsidRPr="00D269C2">
        <w:rPr>
          <w:rFonts w:ascii="Calibri" w:hAnsi="Calibri"/>
          <w:sz w:val="22"/>
          <w:szCs w:val="22"/>
        </w:rPr>
        <w:t xml:space="preserve">To recognize poor quality data we first examined the dataset from </w:t>
      </w:r>
      <w:r w:rsidRPr="00D269C2">
        <w:rPr>
          <w:rFonts w:ascii="Calibri" w:hAnsi="Calibri"/>
          <w:color w:val="00B0F0"/>
          <w:sz w:val="22"/>
          <w:szCs w:val="22"/>
        </w:rPr>
        <w:t>https://www.kaggle.com/datasets/suriyaganesh/resume-dataset-structured?select=01_people.csv.</w:t>
      </w:r>
      <w:r w:rsidRPr="00D269C2">
        <w:rPr>
          <w:rFonts w:ascii="Calibri" w:hAnsi="Calibri"/>
          <w:sz w:val="22"/>
          <w:szCs w:val="22"/>
        </w:rPr>
        <w:t>We observed that many of the key fields were blank: columns such as email (97%missing,(97%missing), and LinkedIn (85%missing), which immediately made the table incomplete. As we looked closer, we noticed the name column is inconsistent, often containing job titles instead of individuals' names. The name column also contain inaccurate entry like one row listed “Scrum Master” three times. These issues were discussed by (“Guide to Structured vs Unstructured Data”) and (Freeman) when discussing poor data quality: missing values, inconsistent records, and information that can’t really be trusted.</w:t>
      </w:r>
    </w:p>
    <w:p w14:paraId="57F7B78F" w14:textId="77777777" w:rsidR="00B01E4B" w:rsidRPr="00D269C2" w:rsidRDefault="00B01E4B" w:rsidP="00A8416F">
      <w:pPr>
        <w:jc w:val="both"/>
        <w:rPr>
          <w:rFonts w:ascii="Calibri" w:hAnsi="Calibri"/>
          <w:sz w:val="22"/>
          <w:szCs w:val="22"/>
        </w:rPr>
      </w:pPr>
      <w:r w:rsidRPr="00D269C2">
        <w:rPr>
          <w:rFonts w:ascii="Calibri" w:hAnsi="Calibri"/>
          <w:b/>
          <w:i/>
          <w:sz w:val="22"/>
          <w:szCs w:val="22"/>
        </w:rPr>
        <w:t xml:space="preserve">d. </w:t>
      </w:r>
      <w:r w:rsidRPr="00D269C2">
        <w:rPr>
          <w:rFonts w:ascii="Calibri" w:hAnsi="Calibri"/>
          <w:bCs/>
          <w:iCs/>
          <w:sz w:val="22"/>
          <w:szCs w:val="22"/>
        </w:rPr>
        <w:t xml:space="preserve"> To show that the unstructured data fails to check he qualities of good quality data: </w:t>
      </w:r>
      <w:r w:rsidRPr="00D269C2">
        <w:rPr>
          <w:rFonts w:ascii="Calibri" w:hAnsi="Calibri"/>
          <w:sz w:val="22"/>
          <w:szCs w:val="22"/>
        </w:rPr>
        <w:t>The first two columns (v1 and v2) contain the useful data with labels and messages, while the other columns (Unnamed: 2–4) are mostly empty (99% missing) and lack a consistent format, making them difficult to use. Multiple rows are duplicated, such as lines 95 and 899, which could lead to misleading and inaccurate conclusions due to this noise. Upon closer inspection, some of the text messages appear unfinished, suggesting that the data may be potentially incomplete. Unstructured data quality is less mature and demands more research attention compared to structured data, which has relatively clearer processing frameworks (</w:t>
      </w:r>
      <w:proofErr w:type="spellStart"/>
      <w:r w:rsidRPr="00D269C2">
        <w:rPr>
          <w:rFonts w:ascii="Calibri" w:hAnsi="Calibri"/>
          <w:sz w:val="22"/>
          <w:szCs w:val="22"/>
        </w:rPr>
        <w:t>Mirzaie</w:t>
      </w:r>
      <w:proofErr w:type="spellEnd"/>
      <w:r w:rsidRPr="00D269C2">
        <w:rPr>
          <w:rFonts w:ascii="Calibri" w:hAnsi="Calibri"/>
          <w:sz w:val="22"/>
          <w:szCs w:val="22"/>
        </w:rPr>
        <w:t xml:space="preserve">, </w:t>
      </w:r>
      <w:proofErr w:type="spellStart"/>
      <w:r w:rsidRPr="00D269C2">
        <w:rPr>
          <w:rFonts w:ascii="Calibri" w:hAnsi="Calibri"/>
          <w:sz w:val="22"/>
          <w:szCs w:val="22"/>
        </w:rPr>
        <w:t>Behkamal</w:t>
      </w:r>
      <w:proofErr w:type="spellEnd"/>
      <w:r w:rsidRPr="00D269C2">
        <w:rPr>
          <w:rFonts w:ascii="Calibri" w:hAnsi="Calibri"/>
          <w:sz w:val="22"/>
          <w:szCs w:val="22"/>
        </w:rPr>
        <w:t>, and </w:t>
      </w:r>
      <w:proofErr w:type="spellStart"/>
      <w:r w:rsidRPr="00D269C2">
        <w:rPr>
          <w:rFonts w:ascii="Calibri" w:hAnsi="Calibri"/>
          <w:sz w:val="22"/>
          <w:szCs w:val="22"/>
        </w:rPr>
        <w:t>Paydar</w:t>
      </w:r>
      <w:proofErr w:type="spellEnd"/>
      <w:r w:rsidRPr="00D269C2">
        <w:rPr>
          <w:rFonts w:ascii="Calibri" w:hAnsi="Calibri"/>
          <w:sz w:val="22"/>
          <w:szCs w:val="22"/>
        </w:rPr>
        <w:t xml:space="preserve"> 10). </w:t>
      </w:r>
      <w:proofErr w:type="spellStart"/>
      <w:r w:rsidRPr="00D269C2">
        <w:rPr>
          <w:rFonts w:ascii="Calibri" w:hAnsi="Calibri"/>
          <w:sz w:val="22"/>
          <w:szCs w:val="22"/>
        </w:rPr>
        <w:t>Jonker</w:t>
      </w:r>
      <w:proofErr w:type="spellEnd"/>
      <w:r w:rsidRPr="00D269C2">
        <w:rPr>
          <w:rFonts w:ascii="Calibri" w:hAnsi="Calibri"/>
          <w:sz w:val="22"/>
          <w:szCs w:val="22"/>
        </w:rPr>
        <w:t xml:space="preserve"> and </w:t>
      </w:r>
      <w:proofErr w:type="spellStart"/>
      <w:r w:rsidRPr="00D269C2">
        <w:rPr>
          <w:rFonts w:ascii="Calibri" w:hAnsi="Calibri"/>
          <w:sz w:val="22"/>
          <w:szCs w:val="22"/>
        </w:rPr>
        <w:t>Gomstyn</w:t>
      </w:r>
      <w:proofErr w:type="spellEnd"/>
      <w:r w:rsidRPr="00D269C2">
        <w:rPr>
          <w:rFonts w:ascii="Calibri" w:hAnsi="Calibri"/>
          <w:sz w:val="22"/>
          <w:szCs w:val="22"/>
        </w:rPr>
        <w:t xml:space="preserve"> also highlighted that uneven data, like this dataset, can easily lead to errors, illustrating the another challenges of unstructured information (</w:t>
      </w:r>
      <w:proofErr w:type="spellStart"/>
      <w:r w:rsidRPr="00D269C2">
        <w:rPr>
          <w:rFonts w:ascii="Calibri" w:hAnsi="Calibri"/>
          <w:sz w:val="22"/>
          <w:szCs w:val="22"/>
        </w:rPr>
        <w:t>Jonker</w:t>
      </w:r>
      <w:proofErr w:type="spellEnd"/>
      <w:r w:rsidRPr="00D269C2">
        <w:rPr>
          <w:rFonts w:ascii="Calibri" w:hAnsi="Calibri"/>
          <w:sz w:val="22"/>
          <w:szCs w:val="22"/>
        </w:rPr>
        <w:t xml:space="preserve"> and </w:t>
      </w:r>
      <w:proofErr w:type="spellStart"/>
      <w:r w:rsidRPr="00D269C2">
        <w:rPr>
          <w:rFonts w:ascii="Calibri" w:hAnsi="Calibri"/>
          <w:sz w:val="22"/>
          <w:szCs w:val="22"/>
        </w:rPr>
        <w:t>Gomstyn</w:t>
      </w:r>
      <w:proofErr w:type="spellEnd"/>
      <w:r w:rsidRPr="00D269C2">
        <w:rPr>
          <w:rFonts w:ascii="Calibri" w:hAnsi="Calibri"/>
          <w:sz w:val="22"/>
          <w:szCs w:val="22"/>
        </w:rPr>
        <w:t>)</w:t>
      </w:r>
    </w:p>
    <w:p w14:paraId="5549D1C6" w14:textId="77777777" w:rsidR="00B01E4B" w:rsidRPr="00D269C2" w:rsidRDefault="00B01E4B" w:rsidP="00A8416F">
      <w:pPr>
        <w:jc w:val="both"/>
        <w:rPr>
          <w:rFonts w:ascii="Calibri" w:hAnsi="Calibri"/>
          <w:sz w:val="22"/>
          <w:szCs w:val="22"/>
        </w:rPr>
      </w:pPr>
    </w:p>
    <w:p w14:paraId="0C017731" w14:textId="77777777" w:rsidR="00B01E4B" w:rsidRPr="00D269C2" w:rsidRDefault="00B01E4B" w:rsidP="00A8416F">
      <w:pPr>
        <w:jc w:val="both"/>
        <w:rPr>
          <w:rFonts w:ascii="Calibri" w:eastAsia="Calibri" w:hAnsi="Calibri" w:cs="Calibri"/>
          <w:b/>
          <w:bCs/>
          <w:color w:val="000000" w:themeColor="text1"/>
          <w:sz w:val="22"/>
          <w:szCs w:val="22"/>
          <w:u w:val="single"/>
        </w:rPr>
      </w:pPr>
      <w:r w:rsidRPr="00D269C2">
        <w:rPr>
          <w:rFonts w:ascii="Calibri" w:eastAsia="Calibri" w:hAnsi="Calibri" w:cs="Calibri"/>
          <w:b/>
          <w:bCs/>
          <w:color w:val="000000" w:themeColor="text1"/>
          <w:sz w:val="22"/>
          <w:szCs w:val="22"/>
          <w:u w:val="single"/>
        </w:rPr>
        <w:t>Task 2</w:t>
      </w:r>
    </w:p>
    <w:p w14:paraId="2F46599C" w14:textId="77777777" w:rsidR="00B01E4B" w:rsidRPr="00D269C2" w:rsidRDefault="00B01E4B" w:rsidP="00A8416F">
      <w:pPr>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Yield Curve Modeling Task</w:t>
      </w:r>
    </w:p>
    <w:p w14:paraId="38E88219" w14:textId="77777777" w:rsidR="00B01E4B" w:rsidRPr="00D269C2" w:rsidRDefault="00B01E4B" w:rsidP="00B01E4B">
      <w:pPr>
        <w:pStyle w:val="ListParagraph"/>
        <w:widowControl w:val="0"/>
        <w:numPr>
          <w:ilvl w:val="0"/>
          <w:numId w:val="3"/>
        </w:numPr>
        <w:spacing w:after="160" w:line="279" w:lineRule="auto"/>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We picked the government securities from Hong Kong. The data source is from investing.com.</w:t>
      </w:r>
    </w:p>
    <w:p w14:paraId="4AD3DD69" w14:textId="77777777" w:rsidR="00B01E4B" w:rsidRPr="00D269C2" w:rsidRDefault="00B01E4B" w:rsidP="00B01E4B">
      <w:pPr>
        <w:pStyle w:val="ListParagraph"/>
        <w:widowControl w:val="0"/>
        <w:numPr>
          <w:ilvl w:val="0"/>
          <w:numId w:val="3"/>
        </w:numPr>
        <w:spacing w:after="160" w:line="279" w:lineRule="auto"/>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We picked a range of government bond/note of different tenor. 8 tenor are selected, they are : 6month, 1Year, 3Year , 5Year, 7Year , 10Year, 15year and 20 year.</w:t>
      </w:r>
    </w:p>
    <w:p w14:paraId="3CE1E74D" w14:textId="77777777" w:rsidR="00B01E4B" w:rsidRPr="00D269C2" w:rsidRDefault="00B01E4B" w:rsidP="00B01E4B">
      <w:pPr>
        <w:pStyle w:val="ListParagraph"/>
        <w:widowControl w:val="0"/>
        <w:numPr>
          <w:ilvl w:val="0"/>
          <w:numId w:val="3"/>
        </w:numPr>
        <w:spacing w:after="160" w:line="279" w:lineRule="auto"/>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We fit the data using Nelson-Siegel(NS) model.</w:t>
      </w:r>
    </w:p>
    <w:p w14:paraId="41734CDD" w14:textId="77777777" w:rsidR="00B01E4B" w:rsidRPr="00D269C2" w:rsidRDefault="00B01E4B" w:rsidP="00B01E4B">
      <w:pPr>
        <w:pStyle w:val="ListParagraph"/>
        <w:widowControl w:val="0"/>
        <w:numPr>
          <w:ilvl w:val="0"/>
          <w:numId w:val="3"/>
        </w:numPr>
        <w:spacing w:after="160" w:line="279" w:lineRule="auto"/>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 xml:space="preserve">We have also fit the data using Cubic-Spline(CS) model. </w:t>
      </w:r>
    </w:p>
    <w:p w14:paraId="7F589698" w14:textId="77777777" w:rsidR="00B01E4B" w:rsidRPr="00D269C2" w:rsidRDefault="00B01E4B" w:rsidP="00B01E4B">
      <w:pPr>
        <w:pStyle w:val="ListParagraph"/>
        <w:widowControl w:val="0"/>
        <w:numPr>
          <w:ilvl w:val="0"/>
          <w:numId w:val="3"/>
        </w:numPr>
        <w:spacing w:after="160" w:line="279" w:lineRule="auto"/>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Comparing the fit of NS and CS, we can observe that NS does not perfectly fit all observed data, only a single smooth curve that passes through most points. In contrast, CS demonstrates the ability to fit observed data closely, but its fitted line may exhibit a “kink.”</w:t>
      </w:r>
    </w:p>
    <w:p w14:paraId="04963D08" w14:textId="77777777" w:rsidR="00B01E4B" w:rsidRPr="00D269C2" w:rsidRDefault="00B01E4B" w:rsidP="00A8416F">
      <w:pPr>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In terms of interpretation:</w:t>
      </w:r>
    </w:p>
    <w:p w14:paraId="12B02078" w14:textId="77777777" w:rsidR="00B01E4B" w:rsidRPr="00D269C2" w:rsidRDefault="00B01E4B" w:rsidP="00A8416F">
      <w:pPr>
        <w:jc w:val="both"/>
        <w:rPr>
          <w:rFonts w:ascii="Calibri" w:eastAsia="Calibri" w:hAnsi="Calibri" w:cs="Calibri"/>
          <w:color w:val="000000" w:themeColor="text1"/>
          <w:sz w:val="22"/>
          <w:szCs w:val="22"/>
        </w:rPr>
      </w:pPr>
    </w:p>
    <w:p w14:paraId="09DA56CA" w14:textId="77777777" w:rsidR="00B01E4B" w:rsidRPr="00D269C2" w:rsidRDefault="00B01E4B" w:rsidP="00B01E4B">
      <w:pPr>
        <w:pStyle w:val="ListParagraph"/>
        <w:widowControl w:val="0"/>
        <w:numPr>
          <w:ilvl w:val="1"/>
          <w:numId w:val="3"/>
        </w:numPr>
        <w:spacing w:after="160" w:line="279" w:lineRule="auto"/>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NS offers better interpretability because its fitted line is smooth, potentially yielding more explainable results. Additionally, NS can handle extrapolation effectively. Since CS relies on interpolation, it may not be well-defined for out-of-sample calculations. However, as a parametric method, NS can provide results for out-of-sample inputs.</w:t>
      </w:r>
    </w:p>
    <w:p w14:paraId="184049E5" w14:textId="77777777" w:rsidR="00B01E4B" w:rsidRPr="00D269C2" w:rsidRDefault="00B01E4B" w:rsidP="00B01E4B">
      <w:pPr>
        <w:pStyle w:val="ListParagraph"/>
        <w:widowControl w:val="0"/>
        <w:numPr>
          <w:ilvl w:val="1"/>
          <w:numId w:val="3"/>
        </w:numPr>
        <w:spacing w:after="160" w:line="279" w:lineRule="auto"/>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 xml:space="preserve">NS also provides intuitive meaning for its model parameters. According to M1L3, </w:t>
      </w:r>
      <w:r w:rsidRPr="00D269C2">
        <w:rPr>
          <w:rFonts w:ascii="Cambria Math" w:eastAsia="Calibri" w:hAnsi="Cambria Math" w:cs="Cambria Math"/>
          <w:color w:val="000000" w:themeColor="text1"/>
          <w:sz w:val="22"/>
          <w:szCs w:val="22"/>
        </w:rPr>
        <w:t>𝜆</w:t>
      </w:r>
      <w:r w:rsidRPr="00D269C2">
        <w:rPr>
          <w:rFonts w:ascii="Calibri" w:eastAsia="Calibri" w:hAnsi="Calibri" w:cs="Calibri"/>
          <w:color w:val="000000" w:themeColor="text1"/>
          <w:sz w:val="22"/>
          <w:szCs w:val="22"/>
        </w:rPr>
        <w:t xml:space="preserve"> represents the decay rate, which ranges between 0 and 1. The parameter </w:t>
      </w:r>
      <w:r w:rsidRPr="00D269C2">
        <w:rPr>
          <w:rFonts w:ascii="Cambria Math" w:eastAsia="Calibri" w:hAnsi="Cambria Math" w:cs="Cambria Math"/>
          <w:color w:val="000000" w:themeColor="text1"/>
          <w:sz w:val="22"/>
          <w:szCs w:val="22"/>
        </w:rPr>
        <w:t>𝛽</w:t>
      </w:r>
      <w:r w:rsidRPr="00D269C2">
        <w:rPr>
          <w:rFonts w:ascii="Calibri" w:eastAsia="Calibri" w:hAnsi="Calibri" w:cs="Calibri"/>
          <w:color w:val="000000" w:themeColor="text1"/>
          <w:sz w:val="22"/>
          <w:szCs w:val="22"/>
        </w:rPr>
        <w:t xml:space="preserve">0 describes the level of the yield curve, </w:t>
      </w:r>
      <w:r w:rsidRPr="00D269C2">
        <w:rPr>
          <w:rFonts w:ascii="Cambria Math" w:eastAsia="Calibri" w:hAnsi="Cambria Math" w:cs="Cambria Math"/>
          <w:color w:val="000000" w:themeColor="text1"/>
          <w:sz w:val="22"/>
          <w:szCs w:val="22"/>
        </w:rPr>
        <w:t>𝛽</w:t>
      </w:r>
      <w:r w:rsidRPr="00D269C2">
        <w:rPr>
          <w:rFonts w:ascii="Calibri" w:eastAsia="Calibri" w:hAnsi="Calibri" w:cs="Calibri"/>
          <w:color w:val="000000" w:themeColor="text1"/>
          <w:sz w:val="22"/>
          <w:szCs w:val="22"/>
        </w:rPr>
        <w:t xml:space="preserve">1 describes its slope, and </w:t>
      </w:r>
      <w:r w:rsidRPr="00D269C2">
        <w:rPr>
          <w:rFonts w:ascii="Cambria Math" w:eastAsia="Calibri" w:hAnsi="Cambria Math" w:cs="Cambria Math"/>
          <w:color w:val="000000" w:themeColor="text1"/>
          <w:sz w:val="22"/>
          <w:szCs w:val="22"/>
        </w:rPr>
        <w:t>𝛽</w:t>
      </w:r>
      <w:r w:rsidRPr="00D269C2">
        <w:rPr>
          <w:rFonts w:ascii="Calibri" w:eastAsia="Calibri" w:hAnsi="Calibri" w:cs="Calibri"/>
          <w:color w:val="000000" w:themeColor="text1"/>
          <w:sz w:val="22"/>
          <w:szCs w:val="22"/>
        </w:rPr>
        <w:t>2 describes its shape.</w:t>
      </w:r>
    </w:p>
    <w:p w14:paraId="755F86BE" w14:textId="77777777" w:rsidR="00B01E4B" w:rsidRPr="00D269C2" w:rsidRDefault="00B01E4B" w:rsidP="00B01E4B">
      <w:pPr>
        <w:pStyle w:val="ListParagraph"/>
        <w:widowControl w:val="0"/>
        <w:numPr>
          <w:ilvl w:val="0"/>
          <w:numId w:val="3"/>
        </w:numPr>
        <w:spacing w:after="160" w:line="279" w:lineRule="auto"/>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For Nelson Siegel Curve, the fitted values are :</w:t>
      </w:r>
    </w:p>
    <w:tbl>
      <w:tblPr>
        <w:tblStyle w:val="TableGrid"/>
        <w:tblW w:w="0" w:type="auto"/>
        <w:tblInd w:w="1673" w:type="dxa"/>
        <w:tblLook w:val="04A0" w:firstRow="1" w:lastRow="0" w:firstColumn="1" w:lastColumn="0" w:noHBand="0" w:noVBand="1"/>
      </w:tblPr>
      <w:tblGrid>
        <w:gridCol w:w="5674"/>
      </w:tblGrid>
      <w:tr w:rsidR="00B01E4B" w:rsidRPr="00D269C2" w14:paraId="4755C179" w14:textId="77777777" w:rsidTr="00A8416F">
        <w:trPr>
          <w:trHeight w:val="380"/>
        </w:trPr>
        <w:tc>
          <w:tcPr>
            <w:tcW w:w="5674" w:type="dxa"/>
          </w:tcPr>
          <w:p w14:paraId="6CC11BD6" w14:textId="77777777" w:rsidR="00B01E4B" w:rsidRPr="00D269C2" w:rsidRDefault="00B01E4B" w:rsidP="00A8416F">
            <w:pPr>
              <w:jc w:val="center"/>
              <w:rPr>
                <w:rFonts w:ascii="Calibri" w:eastAsia="Calibri" w:hAnsi="Calibri" w:cs="Calibri"/>
                <w:color w:val="000000" w:themeColor="text1"/>
                <w:sz w:val="22"/>
              </w:rPr>
            </w:pPr>
            <w:r w:rsidRPr="00D269C2">
              <w:rPr>
                <w:rFonts w:ascii="Calibri" w:eastAsia="Calibri" w:hAnsi="Calibri" w:cs="Calibri"/>
                <w:color w:val="000000" w:themeColor="text1"/>
                <w:sz w:val="22"/>
              </w:rPr>
              <w:lastRenderedPageBreak/>
              <w:t>Beta0</w:t>
            </w:r>
            <w:r w:rsidRPr="00D269C2">
              <w:rPr>
                <w:rFonts w:ascii="Calibri" w:eastAsia="Calibri" w:hAnsi="Calibri" w:cs="Calibri"/>
                <w:color w:val="000000" w:themeColor="text1"/>
                <w:sz w:val="22"/>
              </w:rPr>
              <w:tab/>
              <w:t>3.7992</w:t>
            </w:r>
          </w:p>
        </w:tc>
      </w:tr>
      <w:tr w:rsidR="00B01E4B" w:rsidRPr="00D269C2" w14:paraId="625FFAAC" w14:textId="77777777" w:rsidTr="00A8416F">
        <w:trPr>
          <w:trHeight w:val="380"/>
        </w:trPr>
        <w:tc>
          <w:tcPr>
            <w:tcW w:w="5674" w:type="dxa"/>
          </w:tcPr>
          <w:p w14:paraId="3FEC2BFA" w14:textId="77777777" w:rsidR="00B01E4B" w:rsidRPr="00D269C2" w:rsidRDefault="00B01E4B" w:rsidP="00A8416F">
            <w:pPr>
              <w:jc w:val="center"/>
              <w:rPr>
                <w:rFonts w:ascii="Calibri" w:eastAsia="Calibri" w:hAnsi="Calibri" w:cs="Calibri"/>
                <w:color w:val="000000" w:themeColor="text1"/>
                <w:sz w:val="22"/>
              </w:rPr>
            </w:pPr>
          </w:p>
        </w:tc>
      </w:tr>
      <w:tr w:rsidR="00B01E4B" w:rsidRPr="00D269C2" w14:paraId="559D4B7E" w14:textId="77777777" w:rsidTr="00A8416F">
        <w:trPr>
          <w:trHeight w:val="380"/>
        </w:trPr>
        <w:tc>
          <w:tcPr>
            <w:tcW w:w="5674" w:type="dxa"/>
          </w:tcPr>
          <w:p w14:paraId="1720850F" w14:textId="77777777" w:rsidR="00B01E4B" w:rsidRPr="00D269C2" w:rsidRDefault="00B01E4B" w:rsidP="00A8416F">
            <w:pPr>
              <w:jc w:val="center"/>
              <w:rPr>
                <w:rFonts w:ascii="Calibri" w:eastAsia="Calibri" w:hAnsi="Calibri" w:cs="Calibri"/>
                <w:color w:val="000000" w:themeColor="text1"/>
                <w:sz w:val="22"/>
              </w:rPr>
            </w:pPr>
            <w:r w:rsidRPr="00D269C2">
              <w:rPr>
                <w:rFonts w:ascii="Calibri" w:eastAsia="Calibri" w:hAnsi="Calibri" w:cs="Calibri"/>
                <w:color w:val="000000" w:themeColor="text1"/>
                <w:sz w:val="22"/>
              </w:rPr>
              <w:t>Beta1</w:t>
            </w:r>
            <w:r w:rsidRPr="00D269C2">
              <w:rPr>
                <w:rFonts w:ascii="Calibri" w:eastAsia="Calibri" w:hAnsi="Calibri" w:cs="Calibri"/>
                <w:color w:val="000000" w:themeColor="text1"/>
                <w:sz w:val="22"/>
              </w:rPr>
              <w:tab/>
              <w:t>-0.5993</w:t>
            </w:r>
          </w:p>
        </w:tc>
      </w:tr>
      <w:tr w:rsidR="00B01E4B" w:rsidRPr="00D269C2" w14:paraId="7A0FA1E9" w14:textId="77777777" w:rsidTr="00A8416F">
        <w:trPr>
          <w:trHeight w:val="380"/>
        </w:trPr>
        <w:tc>
          <w:tcPr>
            <w:tcW w:w="5674" w:type="dxa"/>
          </w:tcPr>
          <w:p w14:paraId="0E65FFB6" w14:textId="77777777" w:rsidR="00B01E4B" w:rsidRPr="00D269C2" w:rsidRDefault="00B01E4B" w:rsidP="00A8416F">
            <w:pPr>
              <w:jc w:val="center"/>
              <w:rPr>
                <w:rFonts w:ascii="Calibri" w:eastAsia="Calibri" w:hAnsi="Calibri" w:cs="Calibri"/>
                <w:color w:val="000000" w:themeColor="text1"/>
                <w:sz w:val="22"/>
              </w:rPr>
            </w:pPr>
          </w:p>
        </w:tc>
      </w:tr>
      <w:tr w:rsidR="00B01E4B" w:rsidRPr="00D269C2" w14:paraId="15A21688" w14:textId="77777777" w:rsidTr="00A8416F">
        <w:trPr>
          <w:trHeight w:val="380"/>
        </w:trPr>
        <w:tc>
          <w:tcPr>
            <w:tcW w:w="5674" w:type="dxa"/>
          </w:tcPr>
          <w:p w14:paraId="44C35BB5" w14:textId="77777777" w:rsidR="00B01E4B" w:rsidRPr="00D269C2" w:rsidRDefault="00B01E4B" w:rsidP="00A8416F">
            <w:pPr>
              <w:jc w:val="center"/>
              <w:rPr>
                <w:rFonts w:ascii="Calibri" w:eastAsia="Calibri" w:hAnsi="Calibri" w:cs="Calibri"/>
                <w:color w:val="000000" w:themeColor="text1"/>
                <w:sz w:val="22"/>
              </w:rPr>
            </w:pPr>
            <w:r w:rsidRPr="00D269C2">
              <w:rPr>
                <w:rFonts w:ascii="Calibri" w:eastAsia="Calibri" w:hAnsi="Calibri" w:cs="Calibri"/>
                <w:color w:val="000000" w:themeColor="text1"/>
                <w:sz w:val="22"/>
              </w:rPr>
              <w:t>Beta2</w:t>
            </w:r>
            <w:r w:rsidRPr="00D269C2">
              <w:rPr>
                <w:rFonts w:ascii="Calibri" w:eastAsia="Calibri" w:hAnsi="Calibri" w:cs="Calibri"/>
                <w:color w:val="000000" w:themeColor="text1"/>
                <w:sz w:val="22"/>
              </w:rPr>
              <w:tab/>
              <w:t>-3.450</w:t>
            </w:r>
          </w:p>
        </w:tc>
      </w:tr>
      <w:tr w:rsidR="00B01E4B" w:rsidRPr="00D269C2" w14:paraId="72F673E1" w14:textId="77777777" w:rsidTr="00A8416F">
        <w:trPr>
          <w:trHeight w:val="380"/>
        </w:trPr>
        <w:tc>
          <w:tcPr>
            <w:tcW w:w="5674" w:type="dxa"/>
          </w:tcPr>
          <w:p w14:paraId="064728D7" w14:textId="77777777" w:rsidR="00B01E4B" w:rsidRPr="00D269C2" w:rsidRDefault="00B01E4B" w:rsidP="00A8416F">
            <w:pPr>
              <w:jc w:val="center"/>
              <w:rPr>
                <w:rFonts w:ascii="Calibri" w:eastAsia="Calibri" w:hAnsi="Calibri" w:cs="Calibri"/>
                <w:color w:val="000000" w:themeColor="text1"/>
                <w:sz w:val="22"/>
              </w:rPr>
            </w:pPr>
          </w:p>
        </w:tc>
      </w:tr>
      <w:tr w:rsidR="00B01E4B" w:rsidRPr="00D269C2" w14:paraId="6AEEF56C" w14:textId="77777777" w:rsidTr="00A8416F">
        <w:trPr>
          <w:trHeight w:val="380"/>
        </w:trPr>
        <w:tc>
          <w:tcPr>
            <w:tcW w:w="5674" w:type="dxa"/>
          </w:tcPr>
          <w:p w14:paraId="73C86C48" w14:textId="77777777" w:rsidR="00B01E4B" w:rsidRPr="00D269C2" w:rsidRDefault="00B01E4B" w:rsidP="00A8416F">
            <w:pPr>
              <w:jc w:val="center"/>
              <w:rPr>
                <w:rFonts w:ascii="Calibri" w:eastAsia="Calibri" w:hAnsi="Calibri" w:cs="Calibri"/>
                <w:color w:val="000000" w:themeColor="text1"/>
                <w:sz w:val="22"/>
              </w:rPr>
            </w:pPr>
            <w:r w:rsidRPr="00D269C2">
              <w:rPr>
                <w:rFonts w:ascii="Calibri" w:eastAsia="Calibri" w:hAnsi="Calibri" w:cs="Calibri"/>
                <w:color w:val="000000" w:themeColor="text1"/>
                <w:sz w:val="22"/>
              </w:rPr>
              <w:t>Tau</w:t>
            </w:r>
            <w:r w:rsidRPr="00D269C2">
              <w:rPr>
                <w:rFonts w:ascii="Calibri" w:eastAsia="Calibri" w:hAnsi="Calibri" w:cs="Calibri"/>
                <w:color w:val="000000" w:themeColor="text1"/>
                <w:sz w:val="22"/>
              </w:rPr>
              <w:tab/>
              <w:t xml:space="preserve">  1.730</w:t>
            </w:r>
          </w:p>
        </w:tc>
      </w:tr>
    </w:tbl>
    <w:p w14:paraId="6C4A2665" w14:textId="77777777" w:rsidR="00B01E4B" w:rsidRPr="00D269C2" w:rsidRDefault="00B01E4B" w:rsidP="00A8416F">
      <w:pPr>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For Cubic spline the model parameter is:</w:t>
      </w:r>
    </w:p>
    <w:tbl>
      <w:tblPr>
        <w:tblStyle w:val="TableGrid"/>
        <w:tblW w:w="0" w:type="auto"/>
        <w:tblLook w:val="04A0" w:firstRow="1" w:lastRow="0" w:firstColumn="1" w:lastColumn="0" w:noHBand="0" w:noVBand="1"/>
      </w:tblPr>
      <w:tblGrid>
        <w:gridCol w:w="1544"/>
        <w:gridCol w:w="1001"/>
        <w:gridCol w:w="1002"/>
        <w:gridCol w:w="1002"/>
        <w:gridCol w:w="1002"/>
        <w:gridCol w:w="1002"/>
        <w:gridCol w:w="1002"/>
        <w:gridCol w:w="1002"/>
      </w:tblGrid>
      <w:tr w:rsidR="00B01E4B" w:rsidRPr="00D269C2" w14:paraId="0D5EC68A" w14:textId="77777777" w:rsidTr="00A8416F">
        <w:tc>
          <w:tcPr>
            <w:tcW w:w="1001" w:type="dxa"/>
          </w:tcPr>
          <w:p w14:paraId="73AFDBC3" w14:textId="77777777" w:rsidR="00B01E4B" w:rsidRPr="00D269C2" w:rsidRDefault="00B01E4B" w:rsidP="00A8416F">
            <w:pPr>
              <w:jc w:val="both"/>
              <w:rPr>
                <w:rFonts w:ascii="Calibri" w:eastAsia="Calibri" w:hAnsi="Calibri" w:cs="Calibri"/>
                <w:color w:val="000000" w:themeColor="text1"/>
                <w:sz w:val="22"/>
              </w:rPr>
            </w:pPr>
          </w:p>
        </w:tc>
        <w:tc>
          <w:tcPr>
            <w:tcW w:w="1001" w:type="dxa"/>
          </w:tcPr>
          <w:p w14:paraId="3C8EB769"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(0.5 to 1.0)</w:t>
            </w:r>
          </w:p>
        </w:tc>
        <w:tc>
          <w:tcPr>
            <w:tcW w:w="1002" w:type="dxa"/>
          </w:tcPr>
          <w:p w14:paraId="4A1EFC74"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(1.0 to 3.0)</w:t>
            </w:r>
          </w:p>
        </w:tc>
        <w:tc>
          <w:tcPr>
            <w:tcW w:w="1002" w:type="dxa"/>
          </w:tcPr>
          <w:p w14:paraId="21C7C8A8"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(3.0 to 5.0)</w:t>
            </w:r>
          </w:p>
        </w:tc>
        <w:tc>
          <w:tcPr>
            <w:tcW w:w="1002" w:type="dxa"/>
          </w:tcPr>
          <w:p w14:paraId="086998B2"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(5.0 to 7.0)</w:t>
            </w:r>
          </w:p>
        </w:tc>
        <w:tc>
          <w:tcPr>
            <w:tcW w:w="1002" w:type="dxa"/>
          </w:tcPr>
          <w:p w14:paraId="561398F7"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(7.0 to 10.0)</w:t>
            </w:r>
          </w:p>
        </w:tc>
        <w:tc>
          <w:tcPr>
            <w:tcW w:w="1002" w:type="dxa"/>
          </w:tcPr>
          <w:p w14:paraId="48E00D54"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(10.0 to 15.0)</w:t>
            </w:r>
          </w:p>
        </w:tc>
        <w:tc>
          <w:tcPr>
            <w:tcW w:w="1002" w:type="dxa"/>
          </w:tcPr>
          <w:p w14:paraId="566C21F0"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(15.0 to 20.0)</w:t>
            </w:r>
          </w:p>
        </w:tc>
      </w:tr>
      <w:tr w:rsidR="00B01E4B" w:rsidRPr="00D269C2" w14:paraId="6C6E368D" w14:textId="77777777" w:rsidTr="00A8416F">
        <w:tc>
          <w:tcPr>
            <w:tcW w:w="1001" w:type="dxa"/>
          </w:tcPr>
          <w:p w14:paraId="07F34127"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Cubic(x^3)</w:t>
            </w:r>
            <w:r w:rsidRPr="00D269C2">
              <w:rPr>
                <w:rFonts w:ascii="Calibri" w:eastAsia="Calibri" w:hAnsi="Calibri" w:cs="Calibri"/>
                <w:color w:val="000000" w:themeColor="text1"/>
                <w:sz w:val="22"/>
              </w:rPr>
              <w:tab/>
            </w:r>
          </w:p>
        </w:tc>
        <w:tc>
          <w:tcPr>
            <w:tcW w:w="1001" w:type="dxa"/>
          </w:tcPr>
          <w:p w14:paraId="1A171E4E"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0.1938</w:t>
            </w:r>
          </w:p>
        </w:tc>
        <w:tc>
          <w:tcPr>
            <w:tcW w:w="1002" w:type="dxa"/>
          </w:tcPr>
          <w:p w14:paraId="03F26577"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-0.0574</w:t>
            </w:r>
          </w:p>
        </w:tc>
        <w:tc>
          <w:tcPr>
            <w:tcW w:w="1002" w:type="dxa"/>
          </w:tcPr>
          <w:p w14:paraId="052B3284"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0.0206</w:t>
            </w:r>
          </w:p>
        </w:tc>
        <w:tc>
          <w:tcPr>
            <w:tcW w:w="1002" w:type="dxa"/>
          </w:tcPr>
          <w:p w14:paraId="653DB2D7"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-0.0189</w:t>
            </w:r>
          </w:p>
        </w:tc>
        <w:tc>
          <w:tcPr>
            <w:tcW w:w="1002" w:type="dxa"/>
          </w:tcPr>
          <w:p w14:paraId="0B02C77D"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0.0045</w:t>
            </w:r>
          </w:p>
        </w:tc>
        <w:tc>
          <w:tcPr>
            <w:tcW w:w="1002" w:type="dxa"/>
          </w:tcPr>
          <w:p w14:paraId="04ABB0AC"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0.0007</w:t>
            </w:r>
          </w:p>
        </w:tc>
        <w:tc>
          <w:tcPr>
            <w:tcW w:w="1002" w:type="dxa"/>
          </w:tcPr>
          <w:p w14:paraId="49A57B0B"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-0.0005</w:t>
            </w:r>
          </w:p>
        </w:tc>
      </w:tr>
      <w:tr w:rsidR="00B01E4B" w:rsidRPr="00D269C2" w14:paraId="148C0C6E" w14:textId="77777777" w:rsidTr="00A8416F">
        <w:tc>
          <w:tcPr>
            <w:tcW w:w="1001" w:type="dxa"/>
          </w:tcPr>
          <w:p w14:paraId="5B2FAC18"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Quadratic(x^2)</w:t>
            </w:r>
          </w:p>
        </w:tc>
        <w:tc>
          <w:tcPr>
            <w:tcW w:w="1001" w:type="dxa"/>
          </w:tcPr>
          <w:p w14:paraId="4EE9EBB6"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0.0000</w:t>
            </w:r>
          </w:p>
        </w:tc>
        <w:tc>
          <w:tcPr>
            <w:tcW w:w="1002" w:type="dxa"/>
          </w:tcPr>
          <w:p w14:paraId="7F047A88"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0.2907</w:t>
            </w:r>
          </w:p>
        </w:tc>
        <w:tc>
          <w:tcPr>
            <w:tcW w:w="1002" w:type="dxa"/>
          </w:tcPr>
          <w:p w14:paraId="69DDB64E"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-0.0540</w:t>
            </w:r>
          </w:p>
        </w:tc>
        <w:tc>
          <w:tcPr>
            <w:tcW w:w="1002" w:type="dxa"/>
          </w:tcPr>
          <w:p w14:paraId="79A7B4C2"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0.0699</w:t>
            </w:r>
          </w:p>
        </w:tc>
        <w:tc>
          <w:tcPr>
            <w:tcW w:w="1002" w:type="dxa"/>
          </w:tcPr>
          <w:p w14:paraId="31CE824B"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-0.0434</w:t>
            </w:r>
          </w:p>
        </w:tc>
        <w:tc>
          <w:tcPr>
            <w:tcW w:w="1002" w:type="dxa"/>
          </w:tcPr>
          <w:p w14:paraId="5A694ED6"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-0.0028</w:t>
            </w:r>
          </w:p>
        </w:tc>
        <w:tc>
          <w:tcPr>
            <w:tcW w:w="1002" w:type="dxa"/>
          </w:tcPr>
          <w:p w14:paraId="15024E8C"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0.0074</w:t>
            </w:r>
          </w:p>
        </w:tc>
      </w:tr>
      <w:tr w:rsidR="00B01E4B" w:rsidRPr="00D269C2" w14:paraId="0FFBC604" w14:textId="77777777" w:rsidTr="00A8416F">
        <w:tc>
          <w:tcPr>
            <w:tcW w:w="1001" w:type="dxa"/>
          </w:tcPr>
          <w:p w14:paraId="5BC59AF2"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Linear(x^1)</w:t>
            </w:r>
          </w:p>
        </w:tc>
        <w:tc>
          <w:tcPr>
            <w:tcW w:w="1001" w:type="dxa"/>
          </w:tcPr>
          <w:p w14:paraId="46D61E97"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-0.5504</w:t>
            </w:r>
          </w:p>
        </w:tc>
        <w:tc>
          <w:tcPr>
            <w:tcW w:w="1002" w:type="dxa"/>
          </w:tcPr>
          <w:p w14:paraId="1F60572E"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-0.4051</w:t>
            </w:r>
          </w:p>
        </w:tc>
        <w:tc>
          <w:tcPr>
            <w:tcW w:w="1002" w:type="dxa"/>
          </w:tcPr>
          <w:p w14:paraId="4DFD4EC2"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0.0683</w:t>
            </w:r>
          </w:p>
        </w:tc>
        <w:tc>
          <w:tcPr>
            <w:tcW w:w="1002" w:type="dxa"/>
          </w:tcPr>
          <w:p w14:paraId="09C35A85"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0.1002</w:t>
            </w:r>
          </w:p>
        </w:tc>
        <w:tc>
          <w:tcPr>
            <w:tcW w:w="1002" w:type="dxa"/>
          </w:tcPr>
          <w:p w14:paraId="26746554"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0.1532</w:t>
            </w:r>
          </w:p>
        </w:tc>
        <w:tc>
          <w:tcPr>
            <w:tcW w:w="1002" w:type="dxa"/>
          </w:tcPr>
          <w:p w14:paraId="5A600628"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0.0147</w:t>
            </w:r>
          </w:p>
        </w:tc>
        <w:tc>
          <w:tcPr>
            <w:tcW w:w="1002" w:type="dxa"/>
          </w:tcPr>
          <w:p w14:paraId="30D900AD"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0.0378</w:t>
            </w:r>
          </w:p>
        </w:tc>
      </w:tr>
      <w:tr w:rsidR="00B01E4B" w:rsidRPr="00D269C2" w14:paraId="7828F889" w14:textId="77777777" w:rsidTr="00A8416F">
        <w:tc>
          <w:tcPr>
            <w:tcW w:w="1001" w:type="dxa"/>
          </w:tcPr>
          <w:p w14:paraId="48E840C6"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Constant(x^0)</w:t>
            </w:r>
          </w:p>
        </w:tc>
        <w:tc>
          <w:tcPr>
            <w:tcW w:w="1001" w:type="dxa"/>
          </w:tcPr>
          <w:p w14:paraId="1109C40C"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2.8810</w:t>
            </w:r>
          </w:p>
        </w:tc>
        <w:tc>
          <w:tcPr>
            <w:tcW w:w="1002" w:type="dxa"/>
          </w:tcPr>
          <w:p w14:paraId="3EB2CB37"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2.6300</w:t>
            </w:r>
          </w:p>
        </w:tc>
        <w:tc>
          <w:tcPr>
            <w:tcW w:w="1002" w:type="dxa"/>
          </w:tcPr>
          <w:p w14:paraId="6C2AC210"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2.5230</w:t>
            </w:r>
          </w:p>
        </w:tc>
        <w:tc>
          <w:tcPr>
            <w:tcW w:w="1002" w:type="dxa"/>
          </w:tcPr>
          <w:p w14:paraId="3F63CBC9"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2.6090</w:t>
            </w:r>
          </w:p>
        </w:tc>
        <w:tc>
          <w:tcPr>
            <w:tcW w:w="1002" w:type="dxa"/>
          </w:tcPr>
          <w:p w14:paraId="728DAE1D"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2.9380</w:t>
            </w:r>
          </w:p>
        </w:tc>
        <w:tc>
          <w:tcPr>
            <w:tcW w:w="1002" w:type="dxa"/>
          </w:tcPr>
          <w:p w14:paraId="405D9568"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3.1290</w:t>
            </w:r>
          </w:p>
        </w:tc>
        <w:tc>
          <w:tcPr>
            <w:tcW w:w="1002" w:type="dxa"/>
          </w:tcPr>
          <w:p w14:paraId="61398ED2" w14:textId="77777777" w:rsidR="00B01E4B" w:rsidRPr="00D269C2" w:rsidRDefault="00B01E4B" w:rsidP="00A8416F">
            <w:pPr>
              <w:jc w:val="both"/>
              <w:rPr>
                <w:rFonts w:ascii="Calibri" w:eastAsia="Calibri" w:hAnsi="Calibri" w:cs="Calibri"/>
                <w:color w:val="000000" w:themeColor="text1"/>
                <w:sz w:val="22"/>
              </w:rPr>
            </w:pPr>
            <w:r w:rsidRPr="00D269C2">
              <w:rPr>
                <w:rFonts w:ascii="Calibri" w:eastAsia="Calibri" w:hAnsi="Calibri" w:cs="Calibri"/>
                <w:color w:val="000000" w:themeColor="text1"/>
                <w:sz w:val="22"/>
              </w:rPr>
              <w:t>3.2180</w:t>
            </w:r>
          </w:p>
        </w:tc>
      </w:tr>
    </w:tbl>
    <w:p w14:paraId="56D38F56" w14:textId="77777777" w:rsidR="00B01E4B" w:rsidRPr="00D269C2" w:rsidRDefault="00B01E4B" w:rsidP="00A8416F">
      <w:pPr>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ab/>
      </w:r>
      <w:r w:rsidRPr="00D269C2">
        <w:rPr>
          <w:rFonts w:ascii="Calibri" w:eastAsia="Calibri" w:hAnsi="Calibri" w:cs="Calibri"/>
          <w:color w:val="000000" w:themeColor="text1"/>
          <w:sz w:val="22"/>
          <w:szCs w:val="22"/>
        </w:rPr>
        <w:tab/>
      </w:r>
      <w:r w:rsidRPr="00D269C2">
        <w:rPr>
          <w:rFonts w:ascii="Calibri" w:eastAsia="Calibri" w:hAnsi="Calibri" w:cs="Calibri"/>
          <w:color w:val="000000" w:themeColor="text1"/>
          <w:sz w:val="22"/>
          <w:szCs w:val="22"/>
        </w:rPr>
        <w:tab/>
      </w:r>
      <w:r w:rsidRPr="00D269C2">
        <w:rPr>
          <w:rFonts w:ascii="Calibri" w:eastAsia="Calibri" w:hAnsi="Calibri" w:cs="Calibri"/>
          <w:color w:val="000000" w:themeColor="text1"/>
          <w:sz w:val="22"/>
          <w:szCs w:val="22"/>
        </w:rPr>
        <w:tab/>
      </w:r>
      <w:r w:rsidRPr="00D269C2">
        <w:rPr>
          <w:rFonts w:ascii="Calibri" w:eastAsia="Calibri" w:hAnsi="Calibri" w:cs="Calibri"/>
          <w:color w:val="000000" w:themeColor="text1"/>
          <w:sz w:val="22"/>
          <w:szCs w:val="22"/>
        </w:rPr>
        <w:tab/>
      </w:r>
      <w:r w:rsidRPr="00D269C2">
        <w:rPr>
          <w:rFonts w:ascii="Calibri" w:eastAsia="Calibri" w:hAnsi="Calibri" w:cs="Calibri"/>
          <w:color w:val="000000" w:themeColor="text1"/>
          <w:sz w:val="22"/>
          <w:szCs w:val="22"/>
        </w:rPr>
        <w:tab/>
      </w:r>
      <w:r w:rsidRPr="00D269C2">
        <w:rPr>
          <w:rFonts w:ascii="Calibri" w:eastAsia="Calibri" w:hAnsi="Calibri" w:cs="Calibri"/>
          <w:color w:val="000000" w:themeColor="text1"/>
          <w:sz w:val="22"/>
          <w:szCs w:val="22"/>
        </w:rPr>
        <w:tab/>
      </w:r>
    </w:p>
    <w:p w14:paraId="0D2EC1EB" w14:textId="77777777" w:rsidR="00B01E4B" w:rsidRPr="00D269C2" w:rsidRDefault="00B01E4B" w:rsidP="00B01E4B">
      <w:pPr>
        <w:pStyle w:val="ListParagraph"/>
        <w:widowControl w:val="0"/>
        <w:numPr>
          <w:ilvl w:val="0"/>
          <w:numId w:val="3"/>
        </w:numPr>
        <w:spacing w:after="160" w:line="279" w:lineRule="auto"/>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Although Nelson-Siegel is smoothing the yield curve, this is not necessarily considered as unethical. It is because:</w:t>
      </w:r>
    </w:p>
    <w:p w14:paraId="55D20885" w14:textId="77777777" w:rsidR="00B01E4B" w:rsidRPr="00D269C2" w:rsidRDefault="00B01E4B" w:rsidP="00A8416F">
      <w:pPr>
        <w:jc w:val="both"/>
        <w:rPr>
          <w:rFonts w:ascii="Calibri" w:eastAsia="Calibri" w:hAnsi="Calibri" w:cs="Calibri"/>
          <w:color w:val="000000" w:themeColor="text1"/>
          <w:sz w:val="22"/>
          <w:szCs w:val="22"/>
        </w:rPr>
      </w:pPr>
    </w:p>
    <w:p w14:paraId="759DC056" w14:textId="77777777" w:rsidR="00B01E4B" w:rsidRPr="00D269C2" w:rsidRDefault="00B01E4B" w:rsidP="00A8416F">
      <w:pPr>
        <w:jc w:val="both"/>
        <w:rPr>
          <w:rFonts w:ascii="Calibri" w:eastAsia="Calibri" w:hAnsi="Calibri" w:cs="Calibri"/>
          <w:color w:val="000000" w:themeColor="text1"/>
          <w:sz w:val="22"/>
          <w:szCs w:val="22"/>
        </w:rPr>
      </w:pPr>
    </w:p>
    <w:p w14:paraId="3FE8A445" w14:textId="77777777" w:rsidR="00B01E4B" w:rsidRPr="00D269C2" w:rsidRDefault="00B01E4B" w:rsidP="00A8416F">
      <w:pPr>
        <w:jc w:val="both"/>
        <w:rPr>
          <w:rFonts w:ascii="Calibri" w:eastAsia="Calibri" w:hAnsi="Calibri" w:cs="Calibri"/>
          <w:color w:val="000000" w:themeColor="text1"/>
          <w:sz w:val="22"/>
          <w:szCs w:val="22"/>
        </w:rPr>
      </w:pPr>
    </w:p>
    <w:p w14:paraId="5AF2BCA9" w14:textId="77777777" w:rsidR="00B01E4B" w:rsidRPr="00D269C2" w:rsidRDefault="00B01E4B" w:rsidP="00B01E4B">
      <w:pPr>
        <w:pStyle w:val="ListParagraph"/>
        <w:widowControl w:val="0"/>
        <w:numPr>
          <w:ilvl w:val="1"/>
          <w:numId w:val="3"/>
        </w:numPr>
        <w:spacing w:after="160" w:line="279" w:lineRule="auto"/>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The smoothing is not intended to mislead the true. The smoothing is by construction of the model design. It is also intend to produce a interpretable representation of the yield curve for analysis.</w:t>
      </w:r>
    </w:p>
    <w:p w14:paraId="2D3C982E" w14:textId="77777777" w:rsidR="00B01E4B" w:rsidRPr="00D269C2" w:rsidRDefault="00B01E4B" w:rsidP="00B01E4B">
      <w:pPr>
        <w:pStyle w:val="ListParagraph"/>
        <w:widowControl w:val="0"/>
        <w:numPr>
          <w:ilvl w:val="1"/>
          <w:numId w:val="3"/>
        </w:numPr>
        <w:spacing w:after="160" w:line="279" w:lineRule="auto"/>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In Econometrics, you will smooth time series to filter out noise. Nelson-Siegel can filter out the noise to prevent overfitting. So the intention is not unethical.</w:t>
      </w:r>
    </w:p>
    <w:p w14:paraId="08A6EF10" w14:textId="77777777" w:rsidR="00B01E4B" w:rsidRPr="00D269C2" w:rsidRDefault="00B01E4B" w:rsidP="00A8416F">
      <w:pPr>
        <w:pStyle w:val="ListParagraph"/>
        <w:jc w:val="both"/>
        <w:rPr>
          <w:rFonts w:ascii="Calibri" w:eastAsia="Calibri" w:hAnsi="Calibri" w:cs="Calibri"/>
          <w:color w:val="000000" w:themeColor="text1"/>
          <w:sz w:val="22"/>
          <w:szCs w:val="22"/>
        </w:rPr>
      </w:pPr>
    </w:p>
    <w:p w14:paraId="072DDDD5" w14:textId="77777777" w:rsidR="00B01E4B" w:rsidRPr="00D269C2" w:rsidRDefault="00B01E4B" w:rsidP="00A8416F">
      <w:pPr>
        <w:jc w:val="both"/>
        <w:rPr>
          <w:rFonts w:ascii="Calibri" w:eastAsia="Calibri" w:hAnsi="Calibri" w:cs="Calibri"/>
          <w:b/>
          <w:bCs/>
          <w:color w:val="000000" w:themeColor="text1"/>
          <w:sz w:val="22"/>
          <w:szCs w:val="22"/>
          <w:u w:val="single"/>
        </w:rPr>
      </w:pPr>
      <w:r w:rsidRPr="00D269C2">
        <w:rPr>
          <w:rFonts w:ascii="Calibri" w:eastAsia="Calibri" w:hAnsi="Calibri" w:cs="Calibri"/>
          <w:b/>
          <w:bCs/>
          <w:color w:val="000000" w:themeColor="text1"/>
          <w:sz w:val="22"/>
          <w:szCs w:val="22"/>
          <w:u w:val="single"/>
        </w:rPr>
        <w:t xml:space="preserve">Task 3 </w:t>
      </w:r>
    </w:p>
    <w:p w14:paraId="05A3DD85" w14:textId="77777777" w:rsidR="00B01E4B" w:rsidRPr="00D269C2" w:rsidRDefault="00B01E4B" w:rsidP="00A8416F">
      <w:pPr>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c. The eigenvalues from PCA are in descending order. The leading principal components can explain higher portions of the variance of the dataset than the rest of the principal components. Component 1 can explain 27.69% of the dataset and has the most significant variation in the dataset, Component 2 can explain 20.95% and Component 3 can explain 19.09%. The variation in the yield changes can be presented by the first 3 components which means they contain most of the meaningful information, while the remaining one contribute less.</w:t>
      </w:r>
    </w:p>
    <w:p w14:paraId="7A75E013" w14:textId="77777777" w:rsidR="00B01E4B" w:rsidRPr="00D269C2" w:rsidRDefault="00B01E4B" w:rsidP="00A8416F">
      <w:pPr>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h. Component 1 can explain 81.86%, Component 2 can explain 15.30% and Component 3 can explain 2.29%</w:t>
      </w:r>
    </w:p>
    <w:p w14:paraId="172231EA" w14:textId="77777777" w:rsidR="00B01E4B" w:rsidRPr="00D269C2" w:rsidRDefault="00B01E4B" w:rsidP="00A8416F">
      <w:pPr>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 xml:space="preserve">J. Screeplot from the uncorrelated data is relatively flat, while for government data, the screeplot show a steep decline in principal components. </w:t>
      </w:r>
    </w:p>
    <w:p w14:paraId="15E19EF9" w14:textId="77777777" w:rsidR="00B01E4B" w:rsidRPr="00D269C2" w:rsidRDefault="00B01E4B" w:rsidP="00A8416F">
      <w:pPr>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lastRenderedPageBreak/>
        <w:t>Since the uncorrelated data are uncorrelated, meaning for the standardized matrix, the off-diagonal are closer to 0. So the standardized matrix is “similar” to an identity matrix. As a result Eigenvalues are close to 1 and as a result the variance explained are relatively similar .Thus the screeplot is quite flat.</w:t>
      </w:r>
    </w:p>
    <w:p w14:paraId="0B9C7C72" w14:textId="77777777" w:rsidR="00B01E4B" w:rsidRPr="00D269C2" w:rsidRDefault="00B01E4B" w:rsidP="00A8416F">
      <w:pPr>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Unlike uncorrelated data, government data are often correlated, so we can expect the off-diagonal is different from 0. As opposite to uncorrelated data, the Eigenvalues will be different. As a result some eigenvalues will be significantly higher than some, as a result we could have a steeper screeplot.</w:t>
      </w:r>
    </w:p>
    <w:p w14:paraId="0D5EC78E" w14:textId="77777777" w:rsidR="00B01E4B" w:rsidRPr="00D269C2" w:rsidRDefault="00B01E4B" w:rsidP="00A8416F">
      <w:pPr>
        <w:jc w:val="both"/>
        <w:rPr>
          <w:rFonts w:ascii="Calibri" w:eastAsia="Calibri" w:hAnsi="Calibri" w:cs="Calibri"/>
          <w:b/>
          <w:bCs/>
          <w:color w:val="000000" w:themeColor="text1"/>
          <w:sz w:val="22"/>
          <w:szCs w:val="22"/>
          <w:u w:val="single"/>
        </w:rPr>
      </w:pPr>
      <w:r w:rsidRPr="00D269C2">
        <w:rPr>
          <w:rFonts w:ascii="Calibri" w:eastAsia="Calibri" w:hAnsi="Calibri" w:cs="Calibri"/>
          <w:b/>
          <w:bCs/>
          <w:color w:val="000000" w:themeColor="text1"/>
          <w:sz w:val="22"/>
          <w:szCs w:val="22"/>
          <w:u w:val="single"/>
        </w:rPr>
        <w:t xml:space="preserve">Task 4 </w:t>
      </w:r>
    </w:p>
    <w:p w14:paraId="081A5786" w14:textId="77777777" w:rsidR="00B01E4B" w:rsidRPr="00D269C2" w:rsidRDefault="00B01E4B" w:rsidP="00A8416F">
      <w:pPr>
        <w:spacing w:before="240" w:after="240"/>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For Task 4, we have chosen The Real Estate Select Sector SPDR Fund (XLRE)  for analysis. The 30 largest holdings of XLRE were identified using data provided by State Street Investment Management</w:t>
      </w:r>
      <w:r w:rsidRPr="00D269C2">
        <w:rPr>
          <w:rFonts w:ascii="Calibri" w:eastAsia="Calibri" w:hAnsi="Calibri" w:cs="Calibri"/>
          <w:color w:val="000000" w:themeColor="text1"/>
          <w:sz w:val="22"/>
          <w:szCs w:val="22"/>
          <w:vertAlign w:val="superscript"/>
        </w:rPr>
        <w:t>1</w:t>
      </w:r>
      <w:r w:rsidRPr="00D269C2">
        <w:rPr>
          <w:rFonts w:ascii="Calibri" w:eastAsia="Calibri" w:hAnsi="Calibri" w:cs="Calibri"/>
          <w:color w:val="000000" w:themeColor="text1"/>
          <w:sz w:val="22"/>
          <w:szCs w:val="22"/>
        </w:rPr>
        <w:t>. The data was downloaded in CSV format and is already sorted in descending order. We then record  the tickers of the top 30 holdings. Historical data for these holdings, covering approximately six months from March 23, 2025, to September 23, 2025, was obtained from Yahoo Finance for further analysis.</w:t>
      </w:r>
    </w:p>
    <w:p w14:paraId="759C6759" w14:textId="77777777" w:rsidR="00B01E4B" w:rsidRPr="00D269C2" w:rsidRDefault="00B01E4B" w:rsidP="00A8416F">
      <w:pPr>
        <w:spacing w:before="240" w:after="240"/>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To analyze the data, we first calculated and standardized the price return data. Then, we applied Principal Component Analysis (PCA) and Singular Value Decomposition (SVD) to the standardized covariance matrix to understand data further.</w:t>
      </w:r>
    </w:p>
    <w:p w14:paraId="0C35BFF7" w14:textId="77777777" w:rsidR="00B01E4B" w:rsidRPr="00D269C2" w:rsidRDefault="00B01E4B" w:rsidP="00A8416F">
      <w:pPr>
        <w:spacing w:before="240" w:after="240"/>
        <w:ind w:leftChars="-50" w:left="-120"/>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The first key finding is, from PCA, we found 74% of total variance will be explained by first 3 PC. While the top ten principal components explain 90% of the total variance, with immaterial contribution for subsequent components. This  indicates  that  the majority of the ETF's systematic risk is driven by a  relatively small number of factors.  Additionally, both PCA and SVD produce identical eigenvalues, and their eigenvectors are equivalent, differing only in sign, aligning with the theoretical concepts discussed in Module 3, Lecture 4.</w:t>
      </w:r>
    </w:p>
    <w:p w14:paraId="05121929" w14:textId="77777777" w:rsidR="00B01E4B" w:rsidRPr="00D269C2" w:rsidRDefault="00B01E4B" w:rsidP="00A8416F">
      <w:pPr>
        <w:spacing w:before="240" w:after="240"/>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Methodology</w:t>
      </w:r>
    </w:p>
    <w:p w14:paraId="225BF6BD" w14:textId="77777777" w:rsidR="00B01E4B" w:rsidRPr="00D269C2" w:rsidRDefault="00B01E4B" w:rsidP="00A8416F">
      <w:pPr>
        <w:spacing w:before="240" w:after="240"/>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 xml:space="preserve">We first set up the essential libraries: OS for importing data, </w:t>
      </w:r>
      <w:proofErr w:type="spellStart"/>
      <w:r w:rsidRPr="00D269C2">
        <w:rPr>
          <w:rFonts w:ascii="Calibri" w:eastAsia="Calibri" w:hAnsi="Calibri" w:cs="Calibri"/>
          <w:color w:val="000000" w:themeColor="text1"/>
          <w:sz w:val="22"/>
          <w:szCs w:val="22"/>
        </w:rPr>
        <w:t>yfinance</w:t>
      </w:r>
      <w:proofErr w:type="spellEnd"/>
      <w:r w:rsidRPr="00D269C2">
        <w:rPr>
          <w:rFonts w:ascii="Calibri" w:eastAsia="Calibri" w:hAnsi="Calibri" w:cs="Calibri"/>
          <w:color w:val="000000" w:themeColor="text1"/>
          <w:sz w:val="22"/>
          <w:szCs w:val="22"/>
        </w:rPr>
        <w:t xml:space="preserve"> to pull XLRE data, pandas and </w:t>
      </w:r>
      <w:proofErr w:type="spellStart"/>
      <w:r w:rsidRPr="00D269C2">
        <w:rPr>
          <w:rFonts w:ascii="Calibri" w:eastAsia="Calibri" w:hAnsi="Calibri" w:cs="Calibri"/>
          <w:color w:val="000000" w:themeColor="text1"/>
          <w:sz w:val="22"/>
          <w:szCs w:val="22"/>
        </w:rPr>
        <w:t>NumPy</w:t>
      </w:r>
      <w:proofErr w:type="spellEnd"/>
      <w:r w:rsidRPr="00D269C2">
        <w:rPr>
          <w:rFonts w:ascii="Calibri" w:eastAsia="Calibri" w:hAnsi="Calibri" w:cs="Calibri"/>
          <w:color w:val="000000" w:themeColor="text1"/>
          <w:sz w:val="22"/>
          <w:szCs w:val="22"/>
        </w:rPr>
        <w:t xml:space="preserve"> for data manipulation, and </w:t>
      </w:r>
      <w:proofErr w:type="spellStart"/>
      <w:r w:rsidRPr="00D269C2">
        <w:rPr>
          <w:rFonts w:ascii="Calibri" w:eastAsia="Calibri" w:hAnsi="Calibri" w:cs="Calibri"/>
          <w:color w:val="000000" w:themeColor="text1"/>
          <w:sz w:val="22"/>
          <w:szCs w:val="22"/>
        </w:rPr>
        <w:t>Seaborn</w:t>
      </w:r>
      <w:proofErr w:type="spellEnd"/>
      <w:r w:rsidRPr="00D269C2">
        <w:rPr>
          <w:rFonts w:ascii="Calibri" w:eastAsia="Calibri" w:hAnsi="Calibri" w:cs="Calibri"/>
          <w:color w:val="000000" w:themeColor="text1"/>
          <w:sz w:val="22"/>
          <w:szCs w:val="22"/>
        </w:rPr>
        <w:t xml:space="preserve"> and </w:t>
      </w:r>
      <w:proofErr w:type="spellStart"/>
      <w:r w:rsidRPr="00D269C2">
        <w:rPr>
          <w:rFonts w:ascii="Calibri" w:eastAsia="Calibri" w:hAnsi="Calibri" w:cs="Calibri"/>
          <w:color w:val="000000" w:themeColor="text1"/>
          <w:sz w:val="22"/>
          <w:szCs w:val="22"/>
        </w:rPr>
        <w:t>Matplotlib</w:t>
      </w:r>
      <w:proofErr w:type="spellEnd"/>
      <w:r w:rsidRPr="00D269C2">
        <w:rPr>
          <w:rFonts w:ascii="Calibri" w:eastAsia="Calibri" w:hAnsi="Calibri" w:cs="Calibri"/>
          <w:color w:val="000000" w:themeColor="text1"/>
          <w:sz w:val="22"/>
          <w:szCs w:val="22"/>
        </w:rPr>
        <w:t xml:space="preserve"> for plotting. Our goal is to fetch ETF prices, compute returns, and analyze their risk structure.</w:t>
      </w:r>
    </w:p>
    <w:p w14:paraId="3D157705" w14:textId="77777777" w:rsidR="00B01E4B" w:rsidRPr="00D269C2" w:rsidRDefault="00B01E4B" w:rsidP="00A8416F">
      <w:pPr>
        <w:spacing w:before="240" w:after="240"/>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Next we're pulling 6 months of adjusted closing prices for XLRE’s 30 largest holdings using Yahoo Finance from period : March 23, 2025, to September 23, 2025 . Forming the basis for calculating daily returns and analyzing the ETF’s risk and return.</w:t>
      </w:r>
    </w:p>
    <w:p w14:paraId="7B83C3CB" w14:textId="77777777" w:rsidR="00B01E4B" w:rsidRPr="00D269C2" w:rsidRDefault="00B01E4B" w:rsidP="00A8416F">
      <w:pPr>
        <w:spacing w:before="240" w:after="240"/>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We've converted the raw price series into daily returns, which represent the percentage change in price. This transformation is important because daily returns provide a standardized format to compare the relative performance of different holdings for XLRE. Using raw prices, which vary across holdings due to differing share prices, would affect the results based on the magnitude of the share price.</w:t>
      </w:r>
    </w:p>
    <w:p w14:paraId="08FB3FCE" w14:textId="77777777" w:rsidR="00B01E4B" w:rsidRPr="00D269C2" w:rsidRDefault="00B01E4B" w:rsidP="00A8416F">
      <w:pPr>
        <w:spacing w:before="240" w:after="240"/>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 xml:space="preserve">The second transformation is to apply a common statistical technique which transform the variable into a standard scale. It converts a variable so that it has a mean of 0 and a standard deviation of 1. It is </w:t>
      </w:r>
      <w:r w:rsidRPr="00D269C2">
        <w:rPr>
          <w:rFonts w:ascii="Calibri" w:eastAsia="Calibri" w:hAnsi="Calibri" w:cs="Calibri"/>
          <w:color w:val="000000" w:themeColor="text1"/>
          <w:sz w:val="22"/>
          <w:szCs w:val="22"/>
        </w:rPr>
        <w:lastRenderedPageBreak/>
        <w:t>important since PCA is a variance maximizing procedure, we want the variable having a same scale to uncover the maximum components and for fair comparison.</w:t>
      </w:r>
    </w:p>
    <w:p w14:paraId="29CB7B75" w14:textId="77777777" w:rsidR="00B01E4B" w:rsidRPr="00D269C2" w:rsidRDefault="00B01E4B" w:rsidP="00A8416F">
      <w:pPr>
        <w:spacing w:before="240" w:after="240"/>
        <w:jc w:val="both"/>
        <w:rPr>
          <w:rFonts w:ascii="Calibri" w:eastAsia="Calibri" w:hAnsi="Calibri" w:cs="Calibri"/>
          <w:color w:val="000000" w:themeColor="text1"/>
          <w:sz w:val="22"/>
          <w:szCs w:val="22"/>
        </w:rPr>
      </w:pPr>
      <w:r w:rsidRPr="00D269C2">
        <w:rPr>
          <w:rFonts w:ascii="Calibri" w:eastAsia="Calibri" w:hAnsi="Calibri" w:cs="Calibri"/>
          <w:color w:val="000000" w:themeColor="text1"/>
          <w:sz w:val="22"/>
          <w:szCs w:val="22"/>
        </w:rPr>
        <w:t>PCA Results</w:t>
      </w:r>
    </w:p>
    <w:p w14:paraId="7E4C0520" w14:textId="77777777" w:rsidR="00B01E4B" w:rsidRPr="00D269C2" w:rsidRDefault="00B01E4B" w:rsidP="00A8416F">
      <w:pPr>
        <w:jc w:val="both"/>
        <w:rPr>
          <w:rFonts w:ascii="Calibri" w:eastAsia="Calibri" w:hAnsi="Calibri" w:cs="Calibri"/>
          <w:sz w:val="22"/>
          <w:szCs w:val="22"/>
        </w:rPr>
      </w:pPr>
      <w:r w:rsidRPr="00D269C2">
        <w:rPr>
          <w:rFonts w:ascii="Calibri" w:eastAsia="Calibri" w:hAnsi="Calibri" w:cs="Calibri"/>
          <w:sz w:val="22"/>
          <w:szCs w:val="22"/>
        </w:rPr>
        <w:t>Table1 :Top 10 PCs</w:t>
      </w:r>
    </w:p>
    <w:tbl>
      <w:tblPr>
        <w:tblStyle w:val="TableGrid"/>
        <w:tblW w:w="0" w:type="auto"/>
        <w:tblLayout w:type="fixed"/>
        <w:tblLook w:val="06A0" w:firstRow="1" w:lastRow="0" w:firstColumn="1" w:lastColumn="0" w:noHBand="1" w:noVBand="1"/>
      </w:tblPr>
      <w:tblGrid>
        <w:gridCol w:w="2254"/>
        <w:gridCol w:w="2254"/>
        <w:gridCol w:w="2254"/>
        <w:gridCol w:w="2254"/>
      </w:tblGrid>
      <w:tr w:rsidR="00B01E4B" w:rsidRPr="00D269C2" w14:paraId="328459ED" w14:textId="77777777" w:rsidTr="00A8416F">
        <w:trPr>
          <w:trHeight w:val="300"/>
        </w:trPr>
        <w:tc>
          <w:tcPr>
            <w:tcW w:w="2254" w:type="dxa"/>
          </w:tcPr>
          <w:p w14:paraId="456DA3B9" w14:textId="77777777" w:rsidR="00B01E4B" w:rsidRPr="00D269C2" w:rsidRDefault="00B01E4B" w:rsidP="00A8416F">
            <w:pPr>
              <w:jc w:val="both"/>
              <w:rPr>
                <w:rFonts w:ascii="Calibri" w:eastAsia="Calibri" w:hAnsi="Calibri" w:cs="Calibri"/>
                <w:sz w:val="22"/>
              </w:rPr>
            </w:pPr>
          </w:p>
        </w:tc>
        <w:tc>
          <w:tcPr>
            <w:tcW w:w="2254" w:type="dxa"/>
          </w:tcPr>
          <w:p w14:paraId="1A2EB6DE"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Eigenvalues</w:t>
            </w:r>
          </w:p>
        </w:tc>
        <w:tc>
          <w:tcPr>
            <w:tcW w:w="2254" w:type="dxa"/>
          </w:tcPr>
          <w:p w14:paraId="0D2A2124"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 xml:space="preserve">Explained </w:t>
            </w:r>
          </w:p>
        </w:tc>
        <w:tc>
          <w:tcPr>
            <w:tcW w:w="2254" w:type="dxa"/>
          </w:tcPr>
          <w:p w14:paraId="2446284A"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Cumulative explained</w:t>
            </w:r>
          </w:p>
        </w:tc>
      </w:tr>
      <w:tr w:rsidR="00B01E4B" w:rsidRPr="00D269C2" w14:paraId="353B0999" w14:textId="77777777" w:rsidTr="00A8416F">
        <w:trPr>
          <w:trHeight w:val="300"/>
        </w:trPr>
        <w:tc>
          <w:tcPr>
            <w:tcW w:w="2254" w:type="dxa"/>
          </w:tcPr>
          <w:p w14:paraId="1A7AB809"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1</w:t>
            </w:r>
          </w:p>
        </w:tc>
        <w:tc>
          <w:tcPr>
            <w:tcW w:w="2254" w:type="dxa"/>
          </w:tcPr>
          <w:p w14:paraId="70F2EA10"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17.426312</w:t>
            </w:r>
          </w:p>
        </w:tc>
        <w:tc>
          <w:tcPr>
            <w:tcW w:w="2254" w:type="dxa"/>
          </w:tcPr>
          <w:p w14:paraId="320A5BE1"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58.09%</w:t>
            </w:r>
          </w:p>
        </w:tc>
        <w:tc>
          <w:tcPr>
            <w:tcW w:w="2254" w:type="dxa"/>
          </w:tcPr>
          <w:p w14:paraId="52738826"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58.09%</w:t>
            </w:r>
          </w:p>
        </w:tc>
      </w:tr>
      <w:tr w:rsidR="00B01E4B" w:rsidRPr="00D269C2" w14:paraId="4C0D4458" w14:textId="77777777" w:rsidTr="00A8416F">
        <w:trPr>
          <w:trHeight w:val="300"/>
        </w:trPr>
        <w:tc>
          <w:tcPr>
            <w:tcW w:w="2254" w:type="dxa"/>
          </w:tcPr>
          <w:p w14:paraId="34EC0CB9"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2</w:t>
            </w:r>
          </w:p>
        </w:tc>
        <w:tc>
          <w:tcPr>
            <w:tcW w:w="2254" w:type="dxa"/>
          </w:tcPr>
          <w:p w14:paraId="5EB0DC63"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3.514055</w:t>
            </w:r>
          </w:p>
        </w:tc>
        <w:tc>
          <w:tcPr>
            <w:tcW w:w="2254" w:type="dxa"/>
          </w:tcPr>
          <w:p w14:paraId="4203B13C"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11.71%</w:t>
            </w:r>
          </w:p>
        </w:tc>
        <w:tc>
          <w:tcPr>
            <w:tcW w:w="2254" w:type="dxa"/>
          </w:tcPr>
          <w:p w14:paraId="22B31A86"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69.80%</w:t>
            </w:r>
          </w:p>
        </w:tc>
      </w:tr>
      <w:tr w:rsidR="00B01E4B" w:rsidRPr="00D269C2" w14:paraId="21D3B750" w14:textId="77777777" w:rsidTr="00A8416F">
        <w:trPr>
          <w:trHeight w:val="300"/>
        </w:trPr>
        <w:tc>
          <w:tcPr>
            <w:tcW w:w="2254" w:type="dxa"/>
          </w:tcPr>
          <w:p w14:paraId="3403D09E"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3</w:t>
            </w:r>
          </w:p>
        </w:tc>
        <w:tc>
          <w:tcPr>
            <w:tcW w:w="2254" w:type="dxa"/>
          </w:tcPr>
          <w:p w14:paraId="1166FF6A"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1.275606</w:t>
            </w:r>
          </w:p>
        </w:tc>
        <w:tc>
          <w:tcPr>
            <w:tcW w:w="2254" w:type="dxa"/>
          </w:tcPr>
          <w:p w14:paraId="376139F5"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4.25%</w:t>
            </w:r>
          </w:p>
        </w:tc>
        <w:tc>
          <w:tcPr>
            <w:tcW w:w="2254" w:type="dxa"/>
          </w:tcPr>
          <w:p w14:paraId="27F94B8A"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74.05%</w:t>
            </w:r>
          </w:p>
        </w:tc>
      </w:tr>
      <w:tr w:rsidR="00B01E4B" w:rsidRPr="00D269C2" w14:paraId="0F4B6615" w14:textId="77777777" w:rsidTr="00A8416F">
        <w:trPr>
          <w:trHeight w:val="300"/>
        </w:trPr>
        <w:tc>
          <w:tcPr>
            <w:tcW w:w="2254" w:type="dxa"/>
          </w:tcPr>
          <w:p w14:paraId="522C4B28"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4</w:t>
            </w:r>
          </w:p>
        </w:tc>
        <w:tc>
          <w:tcPr>
            <w:tcW w:w="2254" w:type="dxa"/>
          </w:tcPr>
          <w:p w14:paraId="084C283C"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1.168617</w:t>
            </w:r>
          </w:p>
        </w:tc>
        <w:tc>
          <w:tcPr>
            <w:tcW w:w="2254" w:type="dxa"/>
          </w:tcPr>
          <w:p w14:paraId="6CB02C15"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3.90%</w:t>
            </w:r>
          </w:p>
        </w:tc>
        <w:tc>
          <w:tcPr>
            <w:tcW w:w="2254" w:type="dxa"/>
          </w:tcPr>
          <w:p w14:paraId="3D981ADD"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77.95%</w:t>
            </w:r>
          </w:p>
        </w:tc>
      </w:tr>
      <w:tr w:rsidR="00B01E4B" w:rsidRPr="00D269C2" w14:paraId="644A97AE" w14:textId="77777777" w:rsidTr="00A8416F">
        <w:trPr>
          <w:trHeight w:val="300"/>
        </w:trPr>
        <w:tc>
          <w:tcPr>
            <w:tcW w:w="2254" w:type="dxa"/>
          </w:tcPr>
          <w:p w14:paraId="5A97E647"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5</w:t>
            </w:r>
          </w:p>
        </w:tc>
        <w:tc>
          <w:tcPr>
            <w:tcW w:w="2254" w:type="dxa"/>
          </w:tcPr>
          <w:p w14:paraId="106A29E8"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1.109116</w:t>
            </w:r>
          </w:p>
        </w:tc>
        <w:tc>
          <w:tcPr>
            <w:tcW w:w="2254" w:type="dxa"/>
          </w:tcPr>
          <w:p w14:paraId="53D66346"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3.70%</w:t>
            </w:r>
          </w:p>
        </w:tc>
        <w:tc>
          <w:tcPr>
            <w:tcW w:w="2254" w:type="dxa"/>
          </w:tcPr>
          <w:p w14:paraId="62AB64E5"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81.65%</w:t>
            </w:r>
          </w:p>
        </w:tc>
      </w:tr>
      <w:tr w:rsidR="00B01E4B" w:rsidRPr="00D269C2" w14:paraId="56796BA1" w14:textId="77777777" w:rsidTr="00A8416F">
        <w:trPr>
          <w:trHeight w:val="300"/>
        </w:trPr>
        <w:tc>
          <w:tcPr>
            <w:tcW w:w="2254" w:type="dxa"/>
          </w:tcPr>
          <w:p w14:paraId="1CA9DD08"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6</w:t>
            </w:r>
          </w:p>
        </w:tc>
        <w:tc>
          <w:tcPr>
            <w:tcW w:w="2254" w:type="dxa"/>
          </w:tcPr>
          <w:p w14:paraId="3B91482F"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0.779281</w:t>
            </w:r>
          </w:p>
        </w:tc>
        <w:tc>
          <w:tcPr>
            <w:tcW w:w="2254" w:type="dxa"/>
          </w:tcPr>
          <w:p w14:paraId="4F8B0977"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2.60%</w:t>
            </w:r>
          </w:p>
        </w:tc>
        <w:tc>
          <w:tcPr>
            <w:tcW w:w="2254" w:type="dxa"/>
          </w:tcPr>
          <w:p w14:paraId="23F704A1"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84.24%</w:t>
            </w:r>
          </w:p>
        </w:tc>
      </w:tr>
      <w:tr w:rsidR="00B01E4B" w:rsidRPr="00D269C2" w14:paraId="3B836024" w14:textId="77777777" w:rsidTr="00A8416F">
        <w:trPr>
          <w:trHeight w:val="300"/>
        </w:trPr>
        <w:tc>
          <w:tcPr>
            <w:tcW w:w="2254" w:type="dxa"/>
          </w:tcPr>
          <w:p w14:paraId="0B22E2D9"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7</w:t>
            </w:r>
          </w:p>
        </w:tc>
        <w:tc>
          <w:tcPr>
            <w:tcW w:w="2254" w:type="dxa"/>
          </w:tcPr>
          <w:p w14:paraId="54654CC3"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0.565794</w:t>
            </w:r>
          </w:p>
        </w:tc>
        <w:tc>
          <w:tcPr>
            <w:tcW w:w="2254" w:type="dxa"/>
          </w:tcPr>
          <w:p w14:paraId="4D3EBBF1"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1.89%</w:t>
            </w:r>
          </w:p>
        </w:tc>
        <w:tc>
          <w:tcPr>
            <w:tcW w:w="2254" w:type="dxa"/>
          </w:tcPr>
          <w:p w14:paraId="7ABCE3FD"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86.13%</w:t>
            </w:r>
          </w:p>
        </w:tc>
      </w:tr>
      <w:tr w:rsidR="00B01E4B" w:rsidRPr="00D269C2" w14:paraId="22D5A2F1" w14:textId="77777777" w:rsidTr="00A8416F">
        <w:trPr>
          <w:trHeight w:val="300"/>
        </w:trPr>
        <w:tc>
          <w:tcPr>
            <w:tcW w:w="2254" w:type="dxa"/>
          </w:tcPr>
          <w:p w14:paraId="3A0C08E4"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8</w:t>
            </w:r>
          </w:p>
        </w:tc>
        <w:tc>
          <w:tcPr>
            <w:tcW w:w="2254" w:type="dxa"/>
          </w:tcPr>
          <w:p w14:paraId="7ABDD510"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0.462744</w:t>
            </w:r>
          </w:p>
        </w:tc>
        <w:tc>
          <w:tcPr>
            <w:tcW w:w="2254" w:type="dxa"/>
          </w:tcPr>
          <w:p w14:paraId="5FA3B687"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1.54%</w:t>
            </w:r>
          </w:p>
        </w:tc>
        <w:tc>
          <w:tcPr>
            <w:tcW w:w="2254" w:type="dxa"/>
          </w:tcPr>
          <w:p w14:paraId="269E52A7"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87.67%</w:t>
            </w:r>
          </w:p>
        </w:tc>
      </w:tr>
      <w:tr w:rsidR="00B01E4B" w:rsidRPr="00D269C2" w14:paraId="5C65E1CE" w14:textId="77777777" w:rsidTr="00A8416F">
        <w:trPr>
          <w:trHeight w:val="300"/>
        </w:trPr>
        <w:tc>
          <w:tcPr>
            <w:tcW w:w="2254" w:type="dxa"/>
          </w:tcPr>
          <w:p w14:paraId="78D8BBF5"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9</w:t>
            </w:r>
          </w:p>
        </w:tc>
        <w:tc>
          <w:tcPr>
            <w:tcW w:w="2254" w:type="dxa"/>
          </w:tcPr>
          <w:p w14:paraId="2DAF9FFD"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0.434802</w:t>
            </w:r>
          </w:p>
        </w:tc>
        <w:tc>
          <w:tcPr>
            <w:tcW w:w="2254" w:type="dxa"/>
          </w:tcPr>
          <w:p w14:paraId="45997BA9"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1.45%</w:t>
            </w:r>
          </w:p>
        </w:tc>
        <w:tc>
          <w:tcPr>
            <w:tcW w:w="2254" w:type="dxa"/>
          </w:tcPr>
          <w:p w14:paraId="2C29D890"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89.12%</w:t>
            </w:r>
          </w:p>
        </w:tc>
      </w:tr>
      <w:tr w:rsidR="00B01E4B" w:rsidRPr="00D269C2" w14:paraId="2B0D828A" w14:textId="77777777" w:rsidTr="00A8416F">
        <w:trPr>
          <w:trHeight w:val="300"/>
        </w:trPr>
        <w:tc>
          <w:tcPr>
            <w:tcW w:w="2254" w:type="dxa"/>
          </w:tcPr>
          <w:p w14:paraId="4B947F57"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10</w:t>
            </w:r>
          </w:p>
        </w:tc>
        <w:tc>
          <w:tcPr>
            <w:tcW w:w="2254" w:type="dxa"/>
          </w:tcPr>
          <w:p w14:paraId="1AE60ED7"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0.386216</w:t>
            </w:r>
          </w:p>
        </w:tc>
        <w:tc>
          <w:tcPr>
            <w:tcW w:w="2254" w:type="dxa"/>
          </w:tcPr>
          <w:p w14:paraId="06D4069B"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1.29%</w:t>
            </w:r>
          </w:p>
        </w:tc>
        <w:tc>
          <w:tcPr>
            <w:tcW w:w="2254" w:type="dxa"/>
          </w:tcPr>
          <w:p w14:paraId="0F0E1A24" w14:textId="77777777" w:rsidR="00B01E4B" w:rsidRPr="00D269C2" w:rsidRDefault="00B01E4B" w:rsidP="00A8416F">
            <w:pPr>
              <w:jc w:val="both"/>
              <w:rPr>
                <w:rFonts w:ascii="Calibri" w:eastAsia="Calibri" w:hAnsi="Calibri" w:cs="Calibri"/>
                <w:sz w:val="22"/>
              </w:rPr>
            </w:pPr>
            <w:r w:rsidRPr="00D269C2">
              <w:rPr>
                <w:rFonts w:ascii="Calibri" w:eastAsia="Calibri" w:hAnsi="Calibri" w:cs="Calibri"/>
                <w:sz w:val="22"/>
              </w:rPr>
              <w:t>90.41%</w:t>
            </w:r>
          </w:p>
        </w:tc>
      </w:tr>
    </w:tbl>
    <w:p w14:paraId="4055A919" w14:textId="77777777" w:rsidR="00B01E4B" w:rsidRPr="00D269C2" w:rsidRDefault="00B01E4B" w:rsidP="00A8416F">
      <w:pPr>
        <w:spacing w:before="240" w:after="240"/>
        <w:jc w:val="both"/>
        <w:rPr>
          <w:rFonts w:ascii="Calibri" w:eastAsia="Calibri" w:hAnsi="Calibri" w:cs="Calibri"/>
          <w:sz w:val="22"/>
          <w:szCs w:val="22"/>
        </w:rPr>
      </w:pPr>
      <w:r w:rsidRPr="00D269C2">
        <w:rPr>
          <w:rFonts w:ascii="Calibri" w:hAnsi="Calibri"/>
          <w:noProof/>
          <w:sz w:val="22"/>
          <w:szCs w:val="22"/>
        </w:rPr>
        <w:drawing>
          <wp:inline distT="0" distB="0" distL="0" distR="0" wp14:anchorId="0C9E9697" wp14:editId="3B03C585">
            <wp:extent cx="3648281" cy="2725590"/>
            <wp:effectExtent l="0" t="0" r="0" b="0"/>
            <wp:docPr id="8402703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70321" name=""/>
                    <pic:cNvPicPr/>
                  </pic:nvPicPr>
                  <pic:blipFill>
                    <a:blip r:embed="rId7">
                      <a:extLst>
                        <a:ext uri="{28A0092B-C50C-407E-A947-70E740481C1C}">
                          <a14:useLocalDpi xmlns:a14="http://schemas.microsoft.com/office/drawing/2010/main"/>
                        </a:ext>
                      </a:extLst>
                    </a:blip>
                    <a:stretch>
                      <a:fillRect/>
                    </a:stretch>
                  </pic:blipFill>
                  <pic:spPr>
                    <a:xfrm>
                      <a:off x="0" y="0"/>
                      <a:ext cx="3648281" cy="2725590"/>
                    </a:xfrm>
                    <a:prstGeom prst="rect">
                      <a:avLst/>
                    </a:prstGeom>
                  </pic:spPr>
                </pic:pic>
              </a:graphicData>
            </a:graphic>
          </wp:inline>
        </w:drawing>
      </w:r>
    </w:p>
    <w:p w14:paraId="3144EA11" w14:textId="77777777" w:rsidR="00B01E4B" w:rsidRPr="00D269C2" w:rsidRDefault="00B01E4B" w:rsidP="00A8416F">
      <w:pPr>
        <w:spacing w:before="240" w:after="240"/>
        <w:jc w:val="both"/>
        <w:rPr>
          <w:rFonts w:ascii="Calibri" w:eastAsia="Calibri" w:hAnsi="Calibri" w:cs="Calibri"/>
          <w:sz w:val="22"/>
          <w:szCs w:val="22"/>
        </w:rPr>
      </w:pPr>
      <w:r w:rsidRPr="00D269C2">
        <w:rPr>
          <w:rFonts w:ascii="Calibri" w:eastAsia="Calibri" w:hAnsi="Calibri" w:cs="Calibri"/>
          <w:sz w:val="22"/>
          <w:szCs w:val="22"/>
        </w:rPr>
        <w:t>74% of total variance will be explained by first 3 PC, if we want to explain 80% of the variance we could select the top 5 PCs. If we want more than 90% of explained variance , we can include top 10 PCs, after that the increment are extremely immaterial.</w:t>
      </w:r>
    </w:p>
    <w:p w14:paraId="3BD45AAE" w14:textId="77777777" w:rsidR="00B01E4B" w:rsidRPr="00D269C2" w:rsidRDefault="00B01E4B" w:rsidP="00A8416F">
      <w:pPr>
        <w:jc w:val="both"/>
        <w:rPr>
          <w:rFonts w:ascii="Calibri" w:hAnsi="Calibri"/>
          <w:sz w:val="22"/>
          <w:szCs w:val="22"/>
        </w:rPr>
      </w:pPr>
      <w:r w:rsidRPr="00D269C2">
        <w:rPr>
          <w:rFonts w:ascii="Calibri" w:hAnsi="Calibri"/>
          <w:sz w:val="22"/>
          <w:szCs w:val="22"/>
        </w:rPr>
        <w:br w:type="page"/>
      </w:r>
    </w:p>
    <w:p w14:paraId="5CA78A25" w14:textId="77777777" w:rsidR="00B01E4B" w:rsidRPr="00D269C2" w:rsidRDefault="00B01E4B" w:rsidP="00A8416F">
      <w:pPr>
        <w:spacing w:before="240" w:after="240"/>
        <w:jc w:val="both"/>
        <w:rPr>
          <w:rFonts w:ascii="Calibri" w:eastAsia="Calibri" w:hAnsi="Calibri" w:cs="Calibri"/>
          <w:sz w:val="22"/>
          <w:szCs w:val="22"/>
        </w:rPr>
      </w:pPr>
      <w:r w:rsidRPr="00D269C2">
        <w:rPr>
          <w:rFonts w:ascii="Calibri" w:eastAsia="Calibri" w:hAnsi="Calibri" w:cs="Calibri"/>
          <w:color w:val="000000" w:themeColor="text1"/>
          <w:sz w:val="22"/>
          <w:szCs w:val="22"/>
        </w:rPr>
        <w:lastRenderedPageBreak/>
        <w:t>SVD results</w:t>
      </w:r>
    </w:p>
    <w:p w14:paraId="226B8B7B" w14:textId="77777777" w:rsidR="00B01E4B" w:rsidRPr="00D269C2" w:rsidRDefault="00B01E4B" w:rsidP="00A8416F">
      <w:pPr>
        <w:spacing w:before="240" w:after="240"/>
        <w:jc w:val="both"/>
        <w:rPr>
          <w:rFonts w:ascii="Calibri" w:eastAsia="Calibri" w:hAnsi="Calibri" w:cs="Calibri"/>
          <w:sz w:val="22"/>
          <w:szCs w:val="22"/>
        </w:rPr>
      </w:pPr>
      <w:r w:rsidRPr="00D269C2">
        <w:rPr>
          <w:rFonts w:ascii="Calibri" w:eastAsia="Calibri" w:hAnsi="Calibri" w:cs="Calibri"/>
          <w:sz w:val="22"/>
          <w:szCs w:val="22"/>
        </w:rPr>
        <w:t xml:space="preserve">We perform SVD on standardized data, decomposing it into three components: U, a 127 x 127 orthonormal matrix; S, a 127 x 30 diagonal matrix with positive real numbers on the diagonal; and V a 30 x 30 orthonormal matrix. </w:t>
      </w:r>
    </w:p>
    <w:p w14:paraId="12D29F97" w14:textId="77777777" w:rsidR="00B01E4B" w:rsidRPr="00D269C2" w:rsidRDefault="00B01E4B" w:rsidP="00A8416F">
      <w:pPr>
        <w:spacing w:before="240" w:after="240"/>
        <w:jc w:val="both"/>
        <w:rPr>
          <w:rFonts w:ascii="Calibri" w:eastAsia="Calibri" w:hAnsi="Calibri" w:cs="Calibri"/>
          <w:sz w:val="22"/>
          <w:szCs w:val="22"/>
        </w:rPr>
      </w:pPr>
      <w:r w:rsidRPr="00D269C2">
        <w:rPr>
          <w:rFonts w:ascii="Calibri" w:eastAsia="Calibri" w:hAnsi="Calibri" w:cs="Calibri"/>
          <w:sz w:val="22"/>
          <w:szCs w:val="22"/>
        </w:rPr>
        <w:t>The Singular values are :</w:t>
      </w:r>
    </w:p>
    <w:p w14:paraId="35411648" w14:textId="77777777" w:rsidR="00B01E4B" w:rsidRPr="00D269C2" w:rsidRDefault="00B01E4B" w:rsidP="00A8416F">
      <w:pPr>
        <w:spacing w:before="240" w:after="240"/>
        <w:jc w:val="both"/>
        <w:rPr>
          <w:rFonts w:ascii="Calibri" w:eastAsia="Calibri" w:hAnsi="Calibri" w:cs="Calibri"/>
          <w:sz w:val="22"/>
          <w:szCs w:val="22"/>
        </w:rPr>
      </w:pPr>
      <w:r w:rsidRPr="00D269C2">
        <w:rPr>
          <w:rFonts w:ascii="Calibri" w:eastAsia="Calibri" w:hAnsi="Calibri" w:cs="Calibri"/>
          <w:sz w:val="22"/>
          <w:szCs w:val="22"/>
        </w:rPr>
        <w:t>[4.17448325 1.8745815  1.12942724 1.08102544 1.05314552 0.88276912</w:t>
      </w:r>
      <w:r w:rsidRPr="00D269C2">
        <w:rPr>
          <w:rFonts w:ascii="Calibri" w:hAnsi="Calibri"/>
          <w:sz w:val="22"/>
          <w:szCs w:val="22"/>
        </w:rPr>
        <w:br/>
      </w:r>
      <w:r w:rsidRPr="00D269C2">
        <w:rPr>
          <w:rFonts w:ascii="Calibri" w:eastAsia="Calibri" w:hAnsi="Calibri" w:cs="Calibri"/>
          <w:sz w:val="22"/>
          <w:szCs w:val="22"/>
        </w:rPr>
        <w:t xml:space="preserve"> 0.75219259 0.68025267 0.65939491 0.6214627  0.58067326 0.55895637</w:t>
      </w:r>
      <w:r w:rsidRPr="00D269C2">
        <w:rPr>
          <w:rFonts w:ascii="Calibri" w:hAnsi="Calibri"/>
          <w:sz w:val="22"/>
          <w:szCs w:val="22"/>
        </w:rPr>
        <w:br/>
      </w:r>
      <w:r w:rsidRPr="00D269C2">
        <w:rPr>
          <w:rFonts w:ascii="Calibri" w:eastAsia="Calibri" w:hAnsi="Calibri" w:cs="Calibri"/>
          <w:sz w:val="22"/>
          <w:szCs w:val="22"/>
        </w:rPr>
        <w:t xml:space="preserve"> 0.53315542 0.50283076 0.47109492 0.43491749 0.42084228 0.40438441</w:t>
      </w:r>
      <w:r w:rsidRPr="00D269C2">
        <w:rPr>
          <w:rFonts w:ascii="Calibri" w:hAnsi="Calibri"/>
          <w:sz w:val="22"/>
          <w:szCs w:val="22"/>
        </w:rPr>
        <w:br/>
      </w:r>
      <w:r w:rsidRPr="00D269C2">
        <w:rPr>
          <w:rFonts w:ascii="Calibri" w:eastAsia="Calibri" w:hAnsi="Calibri" w:cs="Calibri"/>
          <w:sz w:val="22"/>
          <w:szCs w:val="22"/>
        </w:rPr>
        <w:t xml:space="preserve"> 0.38847708 0.36812626 0.34160575 0.32937165 0.29648478 0.2689663</w:t>
      </w:r>
      <w:r w:rsidRPr="00D269C2">
        <w:rPr>
          <w:rFonts w:ascii="Calibri" w:hAnsi="Calibri"/>
          <w:sz w:val="22"/>
          <w:szCs w:val="22"/>
        </w:rPr>
        <w:br/>
      </w:r>
      <w:r w:rsidRPr="00D269C2">
        <w:rPr>
          <w:rFonts w:ascii="Calibri" w:eastAsia="Calibri" w:hAnsi="Calibri" w:cs="Calibri"/>
          <w:sz w:val="22"/>
          <w:szCs w:val="22"/>
        </w:rPr>
        <w:t xml:space="preserve"> 0.25305384 0.22984405 0.22607186 0.21473141 0.1801843  0.14362366]</w:t>
      </w:r>
    </w:p>
    <w:p w14:paraId="1D00AB5D" w14:textId="77777777" w:rsidR="00B01E4B" w:rsidRPr="00D269C2" w:rsidRDefault="00B01E4B" w:rsidP="00A8416F">
      <w:pPr>
        <w:spacing w:before="240" w:after="240"/>
        <w:jc w:val="both"/>
        <w:rPr>
          <w:rFonts w:ascii="Calibri" w:eastAsia="Calibri" w:hAnsi="Calibri" w:cs="Calibri"/>
          <w:sz w:val="22"/>
          <w:szCs w:val="22"/>
        </w:rPr>
      </w:pPr>
      <w:r w:rsidRPr="00D269C2">
        <w:rPr>
          <w:rFonts w:ascii="Calibri" w:eastAsia="Calibri" w:hAnsi="Calibri" w:cs="Calibri"/>
          <w:sz w:val="22"/>
          <w:szCs w:val="22"/>
        </w:rPr>
        <w:t xml:space="preserve">To show the connection between SVD and principal component analysis (PCA), we follow what discussed in module 3 lesson 4, The squared singular values in matrix are </w:t>
      </w:r>
      <w:proofErr w:type="spellStart"/>
      <w:r w:rsidRPr="00D269C2">
        <w:rPr>
          <w:rFonts w:ascii="Calibri" w:eastAsia="Calibri" w:hAnsi="Calibri" w:cs="Calibri"/>
          <w:sz w:val="22"/>
          <w:szCs w:val="22"/>
        </w:rPr>
        <w:t>eigen</w:t>
      </w:r>
      <w:proofErr w:type="spellEnd"/>
      <w:r w:rsidRPr="00D269C2">
        <w:rPr>
          <w:rFonts w:ascii="Calibri" w:eastAsia="Calibri" w:hAnsi="Calibri" w:cs="Calibri"/>
          <w:sz w:val="22"/>
          <w:szCs w:val="22"/>
        </w:rPr>
        <w:t xml:space="preserve"> values of covariance matrix. We plot the results in figure 3, which show they are indeed the same.</w:t>
      </w:r>
    </w:p>
    <w:p w14:paraId="3DBAD525" w14:textId="77777777" w:rsidR="00B01E4B" w:rsidRPr="00D269C2" w:rsidRDefault="00B01E4B" w:rsidP="00A8416F">
      <w:pPr>
        <w:spacing w:before="240" w:after="240"/>
        <w:jc w:val="both"/>
        <w:rPr>
          <w:rFonts w:ascii="Calibri" w:eastAsia="Calibri" w:hAnsi="Calibri" w:cs="Calibri"/>
          <w:sz w:val="22"/>
          <w:szCs w:val="22"/>
        </w:rPr>
      </w:pPr>
      <w:r w:rsidRPr="00D269C2">
        <w:rPr>
          <w:rFonts w:ascii="Calibri" w:eastAsia="Calibri" w:hAnsi="Calibri" w:cs="Calibri"/>
          <w:sz w:val="22"/>
          <w:szCs w:val="22"/>
        </w:rPr>
        <w:t>As discussed, the transpose of the V matrix in SVD represents the eigenvectors. As expected, when compared with the eigenvectors from PCA, they differ only by sign. The results are plotted in Figure 4, the plot the ratio for each components of PCs , the magnitude of ratio is always 1 .</w:t>
      </w:r>
    </w:p>
    <w:p w14:paraId="438FB56C" w14:textId="77777777" w:rsidR="00B01E4B" w:rsidRPr="00D269C2" w:rsidRDefault="00B01E4B" w:rsidP="00A8416F">
      <w:pPr>
        <w:spacing w:before="240" w:after="240"/>
        <w:jc w:val="both"/>
        <w:rPr>
          <w:rFonts w:ascii="Calibri" w:eastAsia="Calibri" w:hAnsi="Calibri" w:cs="Calibri"/>
          <w:sz w:val="22"/>
          <w:szCs w:val="22"/>
        </w:rPr>
      </w:pPr>
      <w:r w:rsidRPr="00D269C2">
        <w:rPr>
          <w:rFonts w:ascii="Calibri" w:hAnsi="Calibri"/>
          <w:noProof/>
          <w:sz w:val="22"/>
          <w:szCs w:val="22"/>
        </w:rPr>
        <w:drawing>
          <wp:inline distT="0" distB="0" distL="0" distR="0" wp14:anchorId="1ABD4EAB" wp14:editId="6B7FB74E">
            <wp:extent cx="4680000" cy="3496376"/>
            <wp:effectExtent l="0" t="0" r="0" b="0"/>
            <wp:docPr id="13447952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20431" name=""/>
                    <pic:cNvPicPr/>
                  </pic:nvPicPr>
                  <pic:blipFill>
                    <a:blip r:embed="rId8">
                      <a:extLst>
                        <a:ext uri="{28A0092B-C50C-407E-A947-70E740481C1C}">
                          <a14:useLocalDpi xmlns:a14="http://schemas.microsoft.com/office/drawing/2010/main"/>
                        </a:ext>
                      </a:extLst>
                    </a:blip>
                    <a:stretch>
                      <a:fillRect/>
                    </a:stretch>
                  </pic:blipFill>
                  <pic:spPr>
                    <a:xfrm>
                      <a:off x="0" y="0"/>
                      <a:ext cx="4680000" cy="3496376"/>
                    </a:xfrm>
                    <a:prstGeom prst="rect">
                      <a:avLst/>
                    </a:prstGeom>
                  </pic:spPr>
                </pic:pic>
              </a:graphicData>
            </a:graphic>
          </wp:inline>
        </w:drawing>
      </w:r>
    </w:p>
    <w:p w14:paraId="7B2FC6EC" w14:textId="77777777" w:rsidR="00B01E4B" w:rsidRPr="00D269C2" w:rsidRDefault="00B01E4B" w:rsidP="00A8416F">
      <w:pPr>
        <w:spacing w:before="240" w:after="240"/>
        <w:jc w:val="both"/>
        <w:rPr>
          <w:rFonts w:ascii="Calibri" w:eastAsia="Calibri" w:hAnsi="Calibri" w:cs="Calibri"/>
          <w:sz w:val="22"/>
          <w:szCs w:val="22"/>
        </w:rPr>
      </w:pPr>
      <w:r w:rsidRPr="00D269C2">
        <w:rPr>
          <w:rFonts w:ascii="Calibri" w:hAnsi="Calibri"/>
          <w:noProof/>
          <w:sz w:val="22"/>
          <w:szCs w:val="22"/>
        </w:rPr>
        <w:lastRenderedPageBreak/>
        <w:drawing>
          <wp:inline distT="0" distB="0" distL="0" distR="0" wp14:anchorId="1DA82C97" wp14:editId="57C35D11">
            <wp:extent cx="4680000" cy="3582033"/>
            <wp:effectExtent l="0" t="0" r="0" b="0"/>
            <wp:docPr id="7476898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50906" name=""/>
                    <pic:cNvPicPr/>
                  </pic:nvPicPr>
                  <pic:blipFill>
                    <a:blip r:embed="rId9">
                      <a:extLst>
                        <a:ext uri="{28A0092B-C50C-407E-A947-70E740481C1C}">
                          <a14:useLocalDpi xmlns:a14="http://schemas.microsoft.com/office/drawing/2010/main"/>
                        </a:ext>
                      </a:extLst>
                    </a:blip>
                    <a:stretch>
                      <a:fillRect/>
                    </a:stretch>
                  </pic:blipFill>
                  <pic:spPr>
                    <a:xfrm>
                      <a:off x="0" y="0"/>
                      <a:ext cx="4680000" cy="3582033"/>
                    </a:xfrm>
                    <a:prstGeom prst="rect">
                      <a:avLst/>
                    </a:prstGeom>
                  </pic:spPr>
                </pic:pic>
              </a:graphicData>
            </a:graphic>
          </wp:inline>
        </w:drawing>
      </w:r>
    </w:p>
    <w:p w14:paraId="6229DD62" w14:textId="77777777" w:rsidR="00B01E4B" w:rsidRPr="00D269C2" w:rsidRDefault="00B01E4B" w:rsidP="00A8416F">
      <w:pPr>
        <w:jc w:val="both"/>
        <w:rPr>
          <w:rFonts w:ascii="Calibri" w:eastAsia="Segoe UI" w:hAnsi="Calibri" w:cs="Segoe UI"/>
          <w:sz w:val="22"/>
          <w:szCs w:val="22"/>
        </w:rPr>
      </w:pPr>
      <w:r w:rsidRPr="00D269C2">
        <w:rPr>
          <w:rFonts w:ascii="Calibri" w:eastAsia="Segoe UI" w:hAnsi="Calibri" w:cs="Segoe UI"/>
          <w:sz w:val="22"/>
          <w:szCs w:val="22"/>
        </w:rPr>
        <w:t>REFERENCE</w:t>
      </w:r>
    </w:p>
    <w:p w14:paraId="7B1EDD87" w14:textId="77777777" w:rsidR="00B01E4B" w:rsidRPr="00D269C2" w:rsidRDefault="00B01E4B" w:rsidP="00A8416F">
      <w:pPr>
        <w:jc w:val="both"/>
        <w:rPr>
          <w:rFonts w:ascii="Calibri" w:eastAsia="Segoe UI" w:hAnsi="Calibri" w:cs="Segoe UI"/>
          <w:sz w:val="22"/>
          <w:szCs w:val="22"/>
        </w:rPr>
      </w:pPr>
    </w:p>
    <w:p w14:paraId="6A257795" w14:textId="77777777" w:rsidR="00B01E4B" w:rsidRPr="00D269C2" w:rsidRDefault="00B01E4B" w:rsidP="00B01E4B">
      <w:pPr>
        <w:pStyle w:val="ListParagraph"/>
        <w:widowControl w:val="0"/>
        <w:numPr>
          <w:ilvl w:val="0"/>
          <w:numId w:val="4"/>
        </w:numPr>
        <w:spacing w:after="160" w:line="279" w:lineRule="auto"/>
        <w:jc w:val="both"/>
        <w:rPr>
          <w:rFonts w:ascii="Calibri" w:eastAsia="Segoe UI" w:hAnsi="Calibri" w:cs="Segoe UI"/>
          <w:sz w:val="22"/>
          <w:szCs w:val="22"/>
        </w:rPr>
      </w:pPr>
      <w:r w:rsidRPr="00D269C2">
        <w:rPr>
          <w:rFonts w:ascii="Calibri" w:eastAsia="Segoe UI" w:hAnsi="Calibri" w:cs="Segoe UI"/>
          <w:sz w:val="22"/>
          <w:szCs w:val="22"/>
        </w:rPr>
        <w:t xml:space="preserve">Alexandra </w:t>
      </w:r>
      <w:proofErr w:type="spellStart"/>
      <w:r w:rsidRPr="00D269C2">
        <w:rPr>
          <w:rFonts w:ascii="Calibri" w:eastAsia="Segoe UI" w:hAnsi="Calibri" w:cs="Segoe UI"/>
          <w:sz w:val="22"/>
          <w:szCs w:val="22"/>
        </w:rPr>
        <w:t>Jonker</w:t>
      </w:r>
      <w:proofErr w:type="spellEnd"/>
      <w:r w:rsidRPr="00D269C2">
        <w:rPr>
          <w:rFonts w:ascii="Calibri" w:eastAsia="Segoe UI" w:hAnsi="Calibri" w:cs="Segoe UI"/>
          <w:sz w:val="22"/>
          <w:szCs w:val="22"/>
        </w:rPr>
        <w:t xml:space="preserve">, and Alice </w:t>
      </w:r>
      <w:proofErr w:type="spellStart"/>
      <w:r w:rsidRPr="00D269C2">
        <w:rPr>
          <w:rFonts w:ascii="Calibri" w:eastAsia="Segoe UI" w:hAnsi="Calibri" w:cs="Segoe UI"/>
          <w:sz w:val="22"/>
          <w:szCs w:val="22"/>
        </w:rPr>
        <w:t>Gomstyn</w:t>
      </w:r>
      <w:proofErr w:type="spellEnd"/>
      <w:r w:rsidRPr="00D269C2">
        <w:rPr>
          <w:rFonts w:ascii="Calibri" w:eastAsia="Segoe UI" w:hAnsi="Calibri" w:cs="Segoe UI"/>
          <w:sz w:val="22"/>
          <w:szCs w:val="22"/>
        </w:rPr>
        <w:t>. “Structured vs. Unstructured Data: What’s the Difference?” IBM Think, 7 Feb. 2025, [Link](</w:t>
      </w:r>
      <w:hyperlink r:id="rId10" w:anchor=":~:text=DynamoDB%2C%20Hadoop%20%20and%20,43" w:history="1">
        <w:r w:rsidRPr="00D269C2">
          <w:rPr>
            <w:rStyle w:val="Hyperlink"/>
            <w:rFonts w:ascii="Calibri" w:eastAsia="Segoe UI" w:hAnsi="Calibri" w:cs="Segoe UI"/>
            <w:sz w:val="22"/>
            <w:szCs w:val="22"/>
          </w:rPr>
          <w:t>https://www.ibm.com/think/topics/structured-vs-unstructured-data#:~:text=DynamoDB%2C%20Hadoop%20%20and%20,43</w:t>
        </w:r>
      </w:hyperlink>
      <w:r w:rsidRPr="00D269C2">
        <w:rPr>
          <w:rFonts w:ascii="Calibri" w:eastAsia="Segoe UI" w:hAnsi="Calibri" w:cs="Segoe UI"/>
          <w:sz w:val="22"/>
          <w:szCs w:val="22"/>
        </w:rPr>
        <w:t>.) Accessed 1 Oct. 2025.</w:t>
      </w:r>
    </w:p>
    <w:p w14:paraId="3A696C6A" w14:textId="77777777" w:rsidR="00B01E4B" w:rsidRPr="00D269C2" w:rsidRDefault="00B01E4B" w:rsidP="00A8416F">
      <w:pPr>
        <w:jc w:val="both"/>
        <w:rPr>
          <w:rFonts w:ascii="Calibri" w:eastAsia="Segoe UI" w:hAnsi="Calibri" w:cs="Segoe UI"/>
          <w:sz w:val="22"/>
          <w:szCs w:val="22"/>
        </w:rPr>
      </w:pPr>
    </w:p>
    <w:p w14:paraId="7970FDD0" w14:textId="77777777" w:rsidR="00B01E4B" w:rsidRPr="00D269C2" w:rsidRDefault="00B01E4B" w:rsidP="00B01E4B">
      <w:pPr>
        <w:pStyle w:val="ListParagraph"/>
        <w:widowControl w:val="0"/>
        <w:numPr>
          <w:ilvl w:val="0"/>
          <w:numId w:val="4"/>
        </w:numPr>
        <w:spacing w:after="160" w:line="279" w:lineRule="auto"/>
        <w:jc w:val="both"/>
        <w:rPr>
          <w:rFonts w:ascii="Calibri" w:eastAsia="Segoe UI" w:hAnsi="Calibri" w:cs="Segoe UI"/>
          <w:sz w:val="22"/>
          <w:szCs w:val="22"/>
        </w:rPr>
      </w:pPr>
      <w:r w:rsidRPr="00D269C2">
        <w:rPr>
          <w:rFonts w:ascii="Calibri" w:eastAsia="Segoe UI" w:hAnsi="Calibri" w:cs="Segoe UI"/>
          <w:sz w:val="22"/>
          <w:szCs w:val="22"/>
        </w:rPr>
        <w:t>Freeman Mark. “Financial Data Quality: Modern Problems and Possibilities.” Gable, 7 Nov. 2024, [Link](</w:t>
      </w:r>
      <w:hyperlink r:id="rId11" w:anchor=":~:text=Financial%20institutions%20often%20deal%20with,integration%20issues%20between%20different%20systems" w:history="1">
        <w:r w:rsidRPr="00D269C2">
          <w:rPr>
            <w:rStyle w:val="Hyperlink"/>
            <w:rFonts w:ascii="Calibri" w:eastAsia="Segoe UI" w:hAnsi="Calibri" w:cs="Segoe UI"/>
            <w:sz w:val="22"/>
            <w:szCs w:val="22"/>
          </w:rPr>
          <w:t>https://www.gable.ai/blog/financial-data-quality-management#:~:text=Financial%20institutions%20often%20deal%20with,integration%20issues%20between%20different%20systems</w:t>
        </w:r>
      </w:hyperlink>
      <w:r w:rsidRPr="00D269C2">
        <w:rPr>
          <w:rFonts w:ascii="Calibri" w:eastAsia="Segoe UI" w:hAnsi="Calibri" w:cs="Segoe UI"/>
          <w:sz w:val="22"/>
          <w:szCs w:val="22"/>
        </w:rPr>
        <w:t>.) Accessed 28 Sept. 2025.</w:t>
      </w:r>
    </w:p>
    <w:p w14:paraId="7EC6168F" w14:textId="77777777" w:rsidR="00B01E4B" w:rsidRPr="00D269C2" w:rsidRDefault="00B01E4B" w:rsidP="00A8416F">
      <w:pPr>
        <w:pStyle w:val="ListParagraph"/>
        <w:jc w:val="both"/>
        <w:rPr>
          <w:rFonts w:ascii="Calibri" w:eastAsia="Segoe UI" w:hAnsi="Calibri" w:cs="Segoe UI"/>
          <w:sz w:val="22"/>
          <w:szCs w:val="22"/>
        </w:rPr>
      </w:pPr>
    </w:p>
    <w:p w14:paraId="105C71D9" w14:textId="77777777" w:rsidR="00B01E4B" w:rsidRPr="00D269C2" w:rsidRDefault="00B01E4B" w:rsidP="00A8416F">
      <w:pPr>
        <w:jc w:val="both"/>
        <w:rPr>
          <w:rFonts w:ascii="Calibri" w:eastAsia="Segoe UI" w:hAnsi="Calibri" w:cs="Segoe UI"/>
          <w:sz w:val="22"/>
          <w:szCs w:val="22"/>
        </w:rPr>
      </w:pPr>
    </w:p>
    <w:p w14:paraId="45885C16" w14:textId="77777777" w:rsidR="00B01E4B" w:rsidRPr="00D269C2" w:rsidRDefault="00B01E4B" w:rsidP="00B01E4B">
      <w:pPr>
        <w:pStyle w:val="ListParagraph"/>
        <w:widowControl w:val="0"/>
        <w:numPr>
          <w:ilvl w:val="0"/>
          <w:numId w:val="4"/>
        </w:numPr>
        <w:spacing w:after="160" w:line="279" w:lineRule="auto"/>
        <w:jc w:val="both"/>
        <w:rPr>
          <w:rFonts w:ascii="Calibri" w:eastAsia="Segoe UI" w:hAnsi="Calibri" w:cs="Segoe UI"/>
          <w:sz w:val="22"/>
          <w:szCs w:val="22"/>
        </w:rPr>
      </w:pPr>
      <w:r w:rsidRPr="00D269C2">
        <w:rPr>
          <w:rFonts w:ascii="Calibri" w:eastAsia="Segoe UI" w:hAnsi="Calibri" w:cs="Segoe UI"/>
          <w:sz w:val="22"/>
          <w:szCs w:val="22"/>
        </w:rPr>
        <w:t>Guide to Structured vs Unstructured Data: with Real-World Examples.” Domo, 17 June 2025, [Link](</w:t>
      </w:r>
      <w:hyperlink r:id="rId12" w:history="1">
        <w:r w:rsidRPr="00D269C2">
          <w:rPr>
            <w:rStyle w:val="Hyperlink"/>
            <w:rFonts w:ascii="Calibri" w:eastAsia="Segoe UI" w:hAnsi="Calibri" w:cs="Segoe UI"/>
            <w:sz w:val="22"/>
            <w:szCs w:val="22"/>
          </w:rPr>
          <w:t>https://www.domo.com/learn/article/unstructured-data-vs-strucuctured-data?utm_source=%20https://www.domo.com/learn/article/unstructured-data-vs-strucuctured-data</w:t>
        </w:r>
      </w:hyperlink>
      <w:r w:rsidRPr="00D269C2">
        <w:rPr>
          <w:rFonts w:ascii="Calibri" w:eastAsia="Segoe UI" w:hAnsi="Calibri" w:cs="Segoe UI"/>
          <w:sz w:val="22"/>
          <w:szCs w:val="22"/>
        </w:rPr>
        <w:t>.) Accessed 1 Oct. 2025.</w:t>
      </w:r>
    </w:p>
    <w:p w14:paraId="1B41920F" w14:textId="77777777" w:rsidR="00B01E4B" w:rsidRPr="00D269C2" w:rsidRDefault="00B01E4B" w:rsidP="00A8416F">
      <w:pPr>
        <w:jc w:val="both"/>
        <w:rPr>
          <w:rFonts w:ascii="Calibri" w:eastAsia="Segoe UI" w:hAnsi="Calibri" w:cs="Segoe UI"/>
          <w:sz w:val="22"/>
          <w:szCs w:val="22"/>
        </w:rPr>
      </w:pPr>
    </w:p>
    <w:p w14:paraId="3D8D09AA" w14:textId="77777777" w:rsidR="00B01E4B" w:rsidRPr="00D269C2" w:rsidRDefault="00B01E4B" w:rsidP="00B01E4B">
      <w:pPr>
        <w:pStyle w:val="ListParagraph"/>
        <w:widowControl w:val="0"/>
        <w:numPr>
          <w:ilvl w:val="0"/>
          <w:numId w:val="4"/>
        </w:numPr>
        <w:spacing w:after="160" w:line="279" w:lineRule="auto"/>
        <w:jc w:val="both"/>
        <w:rPr>
          <w:rFonts w:ascii="Calibri" w:eastAsia="Segoe UI" w:hAnsi="Calibri" w:cs="Segoe UI"/>
          <w:sz w:val="22"/>
          <w:szCs w:val="22"/>
        </w:rPr>
      </w:pPr>
      <w:proofErr w:type="spellStart"/>
      <w:r w:rsidRPr="00D269C2">
        <w:rPr>
          <w:rFonts w:ascii="Calibri" w:eastAsia="Segoe UI" w:hAnsi="Calibri" w:cs="Segoe UI"/>
          <w:sz w:val="22"/>
          <w:szCs w:val="22"/>
        </w:rPr>
        <w:t>Mirzaie</w:t>
      </w:r>
      <w:proofErr w:type="spellEnd"/>
      <w:r w:rsidRPr="00D269C2">
        <w:rPr>
          <w:rFonts w:ascii="Calibri" w:eastAsia="Segoe UI" w:hAnsi="Calibri" w:cs="Segoe UI"/>
          <w:sz w:val="22"/>
          <w:szCs w:val="22"/>
        </w:rPr>
        <w:t xml:space="preserve">, Mostafa, </w:t>
      </w:r>
      <w:proofErr w:type="spellStart"/>
      <w:r w:rsidRPr="00D269C2">
        <w:rPr>
          <w:rFonts w:ascii="Calibri" w:eastAsia="Segoe UI" w:hAnsi="Calibri" w:cs="Segoe UI"/>
          <w:sz w:val="22"/>
          <w:szCs w:val="22"/>
        </w:rPr>
        <w:t>Behshid</w:t>
      </w:r>
      <w:proofErr w:type="spellEnd"/>
      <w:r w:rsidRPr="00D269C2">
        <w:rPr>
          <w:rFonts w:ascii="Calibri" w:eastAsia="Segoe UI" w:hAnsi="Calibri" w:cs="Segoe UI"/>
          <w:sz w:val="22"/>
          <w:szCs w:val="22"/>
        </w:rPr>
        <w:t xml:space="preserve"> </w:t>
      </w:r>
      <w:proofErr w:type="spellStart"/>
      <w:r w:rsidRPr="00D269C2">
        <w:rPr>
          <w:rFonts w:ascii="Calibri" w:eastAsia="Segoe UI" w:hAnsi="Calibri" w:cs="Segoe UI"/>
          <w:sz w:val="22"/>
          <w:szCs w:val="22"/>
        </w:rPr>
        <w:t>Behkamal</w:t>
      </w:r>
      <w:proofErr w:type="spellEnd"/>
      <w:r w:rsidRPr="00D269C2">
        <w:rPr>
          <w:rFonts w:ascii="Calibri" w:eastAsia="Segoe UI" w:hAnsi="Calibri" w:cs="Segoe UI"/>
          <w:sz w:val="22"/>
          <w:szCs w:val="22"/>
        </w:rPr>
        <w:t xml:space="preserve">, and </w:t>
      </w:r>
      <w:proofErr w:type="spellStart"/>
      <w:r w:rsidRPr="00D269C2">
        <w:rPr>
          <w:rFonts w:ascii="Calibri" w:eastAsia="Segoe UI" w:hAnsi="Calibri" w:cs="Segoe UI"/>
          <w:sz w:val="22"/>
          <w:szCs w:val="22"/>
        </w:rPr>
        <w:t>Samad</w:t>
      </w:r>
      <w:proofErr w:type="spellEnd"/>
      <w:r w:rsidRPr="00D269C2">
        <w:rPr>
          <w:rFonts w:ascii="Calibri" w:eastAsia="Segoe UI" w:hAnsi="Calibri" w:cs="Segoe UI"/>
          <w:sz w:val="22"/>
          <w:szCs w:val="22"/>
        </w:rPr>
        <w:t xml:space="preserve"> </w:t>
      </w:r>
      <w:proofErr w:type="spellStart"/>
      <w:r w:rsidRPr="00D269C2">
        <w:rPr>
          <w:rFonts w:ascii="Calibri" w:eastAsia="Segoe UI" w:hAnsi="Calibri" w:cs="Segoe UI"/>
          <w:sz w:val="22"/>
          <w:szCs w:val="22"/>
        </w:rPr>
        <w:t>Paydar</w:t>
      </w:r>
      <w:proofErr w:type="spellEnd"/>
      <w:r w:rsidRPr="00D269C2">
        <w:rPr>
          <w:rFonts w:ascii="Calibri" w:eastAsia="Segoe UI" w:hAnsi="Calibri" w:cs="Segoe UI"/>
          <w:sz w:val="22"/>
          <w:szCs w:val="22"/>
        </w:rPr>
        <w:t>. “Data Quality: A Systematic Literature Review and Future Research Directions.” Ferdowsi University of Mashhad, 2019. [PDF](</w:t>
      </w:r>
      <w:hyperlink r:id="rId13" w:history="1">
        <w:r w:rsidRPr="00D269C2">
          <w:rPr>
            <w:rStyle w:val="Hyperlink"/>
            <w:rFonts w:ascii="Calibri" w:eastAsia="Segoe UI" w:hAnsi="Calibri" w:cs="Segoe UI"/>
            <w:sz w:val="22"/>
            <w:szCs w:val="22"/>
          </w:rPr>
          <w:t>https://arxiv.org/pdf/1904.05353</w:t>
        </w:r>
      </w:hyperlink>
      <w:r w:rsidRPr="00D269C2">
        <w:rPr>
          <w:rFonts w:ascii="Calibri" w:eastAsia="Segoe UI" w:hAnsi="Calibri" w:cs="Segoe UI"/>
          <w:sz w:val="22"/>
          <w:szCs w:val="22"/>
        </w:rPr>
        <w:t>)</w:t>
      </w:r>
    </w:p>
    <w:sectPr w:rsidR="00B01E4B" w:rsidRPr="00D269C2">
      <w:headerReference w:type="default" r:id="rId14"/>
      <w:footerReference w:type="default" r:id="rId15"/>
      <w:headerReference w:type="first" r:id="rId16"/>
      <w:footerReference w:type="first" r:id="rId17"/>
      <w:pgSz w:w="12240" w:h="15840"/>
      <w:pgMar w:top="1440" w:right="1440" w:bottom="1440" w:left="1440" w:header="720" w:footer="64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00D18" w14:textId="77777777" w:rsidR="0004353A" w:rsidRDefault="0004353A">
      <w:pPr>
        <w:spacing w:line="240" w:lineRule="auto"/>
      </w:pPr>
      <w:r>
        <w:separator/>
      </w:r>
    </w:p>
  </w:endnote>
  <w:endnote w:type="continuationSeparator" w:id="0">
    <w:p w14:paraId="3B60698D" w14:textId="77777777" w:rsidR="0004353A" w:rsidRDefault="00043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embedRegular r:id="rId5" w:fontKey="{00000000-0000-0000-0000-000000000000}"/>
    <w:embedBold r:id="rId6" w:fontKey="{00000000-0000-0000-0000-000000000000}"/>
  </w:font>
  <w:font w:name="Roboto">
    <w:panose1 w:val="02000000000000000000"/>
    <w:charset w:val="00"/>
    <w:family w:val="auto"/>
    <w:pitch w:val="variable"/>
    <w:sig w:usb0="E00002FF" w:usb1="5000217F" w:usb2="00000021" w:usb3="00000000" w:csb0="00000001" w:csb1="00000000"/>
    <w:embedRegular r:id="rId1" w:fontKey="{00000000-0000-0000-0000-000000000000}"/>
    <w:embedBold r:id="rId2" w:fontKey="{00000000-0000-0000-0000-000000000000}"/>
    <w:embedItalic r:id="rId3" w:fontKey="{00000000-0000-0000-0000-000000000000}"/>
    <w:embedBoldItalic r:id="rId4" w:fontKey="{00000000-0000-0000-0000-000000000000}"/>
  </w:font>
  <w:font w:name="Palatino">
    <w:altName w:val="Book Antiqu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_3njj2xp27vi6" w:colFirst="0" w:colLast="0"/>
  <w:bookmarkEnd w:id="3"/>
  <w:p w14:paraId="50F4917E" w14:textId="77777777" w:rsidR="00FF731E" w:rsidRDefault="00000000">
    <w:pPr>
      <w:pStyle w:val="Subtitle"/>
      <w:tabs>
        <w:tab w:val="right" w:pos="9360"/>
      </w:tabs>
      <w:jc w:val="right"/>
      <w:rPr>
        <w:color w:val="CCCCCC"/>
        <w:sz w:val="15"/>
        <w:szCs w:val="15"/>
      </w:rPr>
    </w:pPr>
    <w:r>
      <w:rPr>
        <w:color w:val="CCCCCC"/>
        <w:sz w:val="15"/>
        <w:szCs w:val="15"/>
      </w:rPr>
      <w:fldChar w:fldCharType="begin"/>
    </w:r>
    <w:r>
      <w:rPr>
        <w:color w:val="CCCCCC"/>
        <w:sz w:val="15"/>
        <w:szCs w:val="15"/>
      </w:rPr>
      <w:instrText>PAGE</w:instrText>
    </w:r>
    <w:r>
      <w:rPr>
        <w:color w:val="CCCCCC"/>
        <w:sz w:val="15"/>
        <w:szCs w:val="15"/>
      </w:rPr>
      <w:fldChar w:fldCharType="separate"/>
    </w:r>
    <w:r w:rsidR="00E02A82">
      <w:rPr>
        <w:noProof/>
        <w:color w:val="CCCCCC"/>
        <w:sz w:val="15"/>
        <w:szCs w:val="15"/>
      </w:rPr>
      <w:t>1</w:t>
    </w:r>
    <w:r>
      <w:rPr>
        <w:color w:val="CCCCCC"/>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5" w:name="_lmzikmqfw25z" w:colFirst="0" w:colLast="0"/>
  <w:bookmarkEnd w:id="5"/>
  <w:p w14:paraId="7BFE544F" w14:textId="77777777" w:rsidR="00FF731E" w:rsidRDefault="00000000">
    <w:pPr>
      <w:pStyle w:val="Subtitle"/>
      <w:tabs>
        <w:tab w:val="right" w:pos="9360"/>
      </w:tabs>
      <w:rPr>
        <w:color w:val="D9D9D9"/>
        <w:sz w:val="15"/>
        <w:szCs w:val="15"/>
      </w:rPr>
    </w:pPr>
    <w:r>
      <w:rPr>
        <w:color w:val="D9D9D9"/>
        <w:sz w:val="15"/>
        <w:szCs w:val="15"/>
      </w:rPr>
      <w:fldChar w:fldCharType="begin"/>
    </w:r>
    <w:r>
      <w:rPr>
        <w:color w:val="D9D9D9"/>
        <w:sz w:val="15"/>
        <w:szCs w:val="15"/>
      </w:rPr>
      <w:instrText>PAGE</w:instrText>
    </w:r>
    <w:r>
      <w:rPr>
        <w:color w:val="D9D9D9"/>
        <w:sz w:val="15"/>
        <w:szCs w:val="15"/>
      </w:rPr>
      <w:fldChar w:fldCharType="separate"/>
    </w:r>
    <w:r w:rsidR="00E02A82">
      <w:rPr>
        <w:noProof/>
        <w:color w:val="D9D9D9"/>
        <w:sz w:val="15"/>
        <w:szCs w:val="15"/>
      </w:rPr>
      <w:t>0</w:t>
    </w:r>
    <w:r>
      <w:rPr>
        <w:color w:val="D9D9D9"/>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F0623" w14:textId="77777777" w:rsidR="0004353A" w:rsidRDefault="0004353A">
      <w:pPr>
        <w:spacing w:line="240" w:lineRule="auto"/>
      </w:pPr>
      <w:r>
        <w:separator/>
      </w:r>
    </w:p>
  </w:footnote>
  <w:footnote w:type="continuationSeparator" w:id="0">
    <w:p w14:paraId="59AA99D3" w14:textId="77777777" w:rsidR="0004353A" w:rsidRDefault="00043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5CC94" w14:textId="77777777" w:rsidR="00FF731E" w:rsidRDefault="00000000">
    <w:pPr>
      <w:pStyle w:val="Subtitle"/>
    </w:pPr>
    <w:bookmarkStart w:id="2" w:name="_qabbsffvlmwa" w:colFirst="0" w:colLast="0"/>
    <w:bookmarkEnd w:id="2"/>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600: FINANCIAL DATA</w:t>
    </w:r>
  </w:p>
  <w:p w14:paraId="20B64686" w14:textId="77777777" w:rsidR="00FF731E" w:rsidRDefault="00000000">
    <w:r>
      <w:rPr>
        <w:b/>
      </w:rPr>
      <w:t>Group Number:</w:t>
    </w:r>
    <w:r>
      <w:t xml:space="preserve"> 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F1764" w14:textId="77777777" w:rsidR="00FF731E" w:rsidRDefault="00000000">
    <w:pPr>
      <w:pStyle w:val="Subtitle"/>
    </w:pPr>
    <w:bookmarkStart w:id="4" w:name="_4017fk80lz86" w:colFirst="0" w:colLast="0"/>
    <w:bookmarkEnd w:id="4"/>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t xml:space="preserve">       </w:t>
    </w:r>
    <w:proofErr w:type="spellStart"/>
    <w:r>
      <w:rPr>
        <w:color w:val="41395F"/>
        <w:sz w:val="24"/>
        <w:szCs w:val="24"/>
      </w:rPr>
      <w:t>MScFE</w:t>
    </w:r>
    <w:proofErr w:type="spellEnd"/>
    <w:r>
      <w:rPr>
        <w:color w:val="41395F"/>
        <w:sz w:val="24"/>
        <w:szCs w:val="24"/>
      </w:rPr>
      <w:t xml:space="preserve"> 600: FINANCIAL DATA</w:t>
    </w:r>
  </w:p>
  <w:p w14:paraId="47416145" w14:textId="77777777" w:rsidR="00FF731E" w:rsidRDefault="00000000">
    <w:r>
      <w:rPr>
        <w:b/>
      </w:rPr>
      <w:t>GROUP NUMBER:</w:t>
    </w:r>
    <w:r>
      <w:t xml:space="preserve">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8032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C9153D"/>
    <w:multiLevelType w:val="hybridMultilevel"/>
    <w:tmpl w:val="582CE898"/>
    <w:lvl w:ilvl="0" w:tplc="FFFFFFFF">
      <w:start w:val="2"/>
      <w:numFmt w:val="bullet"/>
      <w:lvlText w:val=""/>
      <w:lvlJc w:val="left"/>
      <w:pPr>
        <w:ind w:left="720" w:hanging="360"/>
      </w:pPr>
      <w:rPr>
        <w:rFonts w:ascii="Symbol" w:eastAsia="Segoe U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F0E06"/>
    <w:multiLevelType w:val="hybridMultilevel"/>
    <w:tmpl w:val="B96E6166"/>
    <w:lvl w:ilvl="0" w:tplc="FFFFFFFF">
      <w:start w:val="1"/>
      <w:numFmt w:val="lowerLetter"/>
      <w:lvlText w:val="%1."/>
      <w:lvlJc w:val="left"/>
      <w:pPr>
        <w:ind w:left="720" w:hanging="360"/>
      </w:pPr>
      <w:rPr>
        <w:rFonts w:hint="default"/>
      </w:rPr>
    </w:lvl>
    <w:lvl w:ilvl="1" w:tplc="244E19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93D42"/>
    <w:multiLevelType w:val="multilevel"/>
    <w:tmpl w:val="FFFFFFFF"/>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num w:numId="1" w16cid:durableId="155533977">
    <w:abstractNumId w:val="3"/>
  </w:num>
  <w:num w:numId="2" w16cid:durableId="573317525">
    <w:abstractNumId w:val="0"/>
  </w:num>
  <w:num w:numId="3" w16cid:durableId="1038555030">
    <w:abstractNumId w:val="2"/>
  </w:num>
  <w:num w:numId="4" w16cid:durableId="16301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31E"/>
    <w:rsid w:val="0004353A"/>
    <w:rsid w:val="000765C4"/>
    <w:rsid w:val="003C282F"/>
    <w:rsid w:val="0043058B"/>
    <w:rsid w:val="009B06E5"/>
    <w:rsid w:val="00B01E4B"/>
    <w:rsid w:val="00B52027"/>
    <w:rsid w:val="00D269C2"/>
    <w:rsid w:val="00E02A82"/>
    <w:rsid w:val="00FF7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315567"/>
  <w15:docId w15:val="{B1386C87-1F7E-8342-A408-F07B356E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color w:val="29333D"/>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line="240" w:lineRule="auto"/>
      <w:outlineLvl w:val="0"/>
    </w:pPr>
    <w:rPr>
      <w:b/>
      <w:color w:val="004974"/>
      <w:sz w:val="44"/>
      <w:szCs w:val="44"/>
    </w:rPr>
  </w:style>
  <w:style w:type="paragraph" w:styleId="Heading2">
    <w:name w:val="heading 2"/>
    <w:basedOn w:val="Normal"/>
    <w:next w:val="Normal"/>
    <w:uiPriority w:val="9"/>
    <w:unhideWhenUsed/>
    <w:qFormat/>
    <w:pPr>
      <w:keepNext/>
      <w:keepLines/>
      <w:shd w:val="clear" w:color="auto" w:fill="FFFFFF"/>
      <w:spacing w:before="300" w:after="300" w:line="240" w:lineRule="auto"/>
      <w:outlineLvl w:val="1"/>
    </w:pPr>
    <w:rPr>
      <w:b/>
      <w:color w:val="004974"/>
      <w:sz w:val="32"/>
      <w:szCs w:val="32"/>
    </w:rPr>
  </w:style>
  <w:style w:type="paragraph" w:styleId="Heading3">
    <w:name w:val="heading 3"/>
    <w:basedOn w:val="Normal"/>
    <w:next w:val="Normal"/>
    <w:uiPriority w:val="9"/>
    <w:unhideWhenUsed/>
    <w:qFormat/>
    <w:pPr>
      <w:keepNext/>
      <w:keepLines/>
      <w:outlineLvl w:val="2"/>
    </w:pPr>
    <w:rPr>
      <w:b/>
      <w:color w:val="004974"/>
    </w:rPr>
  </w:style>
  <w:style w:type="paragraph" w:styleId="Heading4">
    <w:name w:val="heading 4"/>
    <w:basedOn w:val="Normal"/>
    <w:next w:val="Normal"/>
    <w:uiPriority w:val="9"/>
    <w:unhideWhenUsed/>
    <w:qFormat/>
    <w:pPr>
      <w:keepNext/>
      <w:keepLines/>
      <w:spacing w:line="240" w:lineRule="auto"/>
      <w:outlineLvl w:val="3"/>
    </w:pPr>
    <w:rPr>
      <w:b/>
      <w:color w:val="FFFFFF"/>
      <w:sz w:val="20"/>
      <w:szCs w:val="20"/>
    </w:rPr>
  </w:style>
  <w:style w:type="paragraph" w:styleId="Heading5">
    <w:name w:val="heading 5"/>
    <w:basedOn w:val="Normal"/>
    <w:next w:val="Normal"/>
    <w:uiPriority w:val="9"/>
    <w:semiHidden/>
    <w:unhideWhenUsed/>
    <w:qFormat/>
    <w:pPr>
      <w:keepNext/>
      <w:keepLines/>
      <w:spacing w:line="240" w:lineRule="auto"/>
      <w:outlineLvl w:val="4"/>
    </w:pPr>
    <w:rPr>
      <w:b/>
      <w:color w:val="E17714"/>
      <w:u w:val="single"/>
    </w:rPr>
  </w:style>
  <w:style w:type="paragraph" w:styleId="Heading6">
    <w:name w:val="heading 6"/>
    <w:basedOn w:val="Normal"/>
    <w:next w:val="Normal"/>
    <w:uiPriority w:val="9"/>
    <w:semiHidden/>
    <w:unhideWhenUsed/>
    <w:qFormat/>
    <w:pPr>
      <w:keepNext/>
      <w:keepLines/>
      <w:shd w:val="clear" w:color="auto" w:fill="FFFFFF"/>
      <w:spacing w:before="180" w:after="300"/>
      <w:jc w:val="center"/>
      <w:outlineLvl w:val="5"/>
    </w:pPr>
    <w:rPr>
      <w:rFonts w:ascii="Palatino" w:eastAsia="Palatino" w:hAnsi="Palatino" w:cs="Palatino"/>
      <w:i/>
      <w:color w:val="434343"/>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line="240" w:lineRule="auto"/>
    </w:pPr>
    <w:rPr>
      <w:b/>
      <w:color w:val="004974"/>
      <w:sz w:val="52"/>
      <w:szCs w:val="52"/>
    </w:rPr>
  </w:style>
  <w:style w:type="paragraph" w:styleId="Subtitle">
    <w:name w:val="Subtitle"/>
    <w:basedOn w:val="Normal"/>
    <w:next w:val="Normal"/>
    <w:uiPriority w:val="11"/>
    <w:qFormat/>
    <w:pPr>
      <w:keepNext/>
      <w:keepLines/>
      <w:spacing w:line="240" w:lineRule="auto"/>
    </w:pPr>
    <w:rPr>
      <w:color w:val="B7B7B7"/>
      <w:sz w:val="20"/>
      <w:szCs w:val="2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character" w:styleId="Hyperlink">
    <w:name w:val="Hyperlink"/>
    <w:basedOn w:val="DefaultParagraphFont"/>
    <w:uiPriority w:val="99"/>
    <w:unhideWhenUsed/>
    <w:rsid w:val="0043058B"/>
    <w:rPr>
      <w:color w:val="0000FF" w:themeColor="hyperlink"/>
      <w:u w:val="single"/>
    </w:rPr>
  </w:style>
  <w:style w:type="character" w:styleId="UnresolvedMention">
    <w:name w:val="Unresolved Mention"/>
    <w:basedOn w:val="DefaultParagraphFont"/>
    <w:uiPriority w:val="99"/>
    <w:semiHidden/>
    <w:unhideWhenUsed/>
    <w:rsid w:val="0043058B"/>
    <w:rPr>
      <w:color w:val="605E5C"/>
      <w:shd w:val="clear" w:color="auto" w:fill="E1DFDD"/>
    </w:rPr>
  </w:style>
  <w:style w:type="paragraph" w:styleId="ListParagraph">
    <w:name w:val="List Paragraph"/>
    <w:basedOn w:val="Normal"/>
    <w:uiPriority w:val="34"/>
    <w:qFormat/>
    <w:rsid w:val="0043058B"/>
    <w:pPr>
      <w:ind w:left="720"/>
      <w:contextualSpacing/>
    </w:pPr>
  </w:style>
  <w:style w:type="table" w:styleId="TableGrid">
    <w:name w:val="Table Grid"/>
    <w:basedOn w:val="TableNormal"/>
    <w:uiPriority w:val="59"/>
    <w:rsid w:val="00B01E4B"/>
    <w:pPr>
      <w:spacing w:line="240" w:lineRule="auto"/>
    </w:pPr>
    <w:rPr>
      <w:rFonts w:asciiTheme="minorHAnsi" w:eastAsiaTheme="minorEastAsia" w:hAnsiTheme="minorHAnsi" w:cstheme="minorBidi"/>
      <w:color w:val="auto"/>
      <w:kern w:val="2"/>
      <w:szCs w:val="22"/>
      <w:lang w:val="en-US" w:eastAsia="zh-TW"/>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B01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color w:val="auto"/>
      <w:sz w:val="20"/>
      <w:szCs w:val="20"/>
      <w:lang w:val="en-GB"/>
    </w:rPr>
  </w:style>
  <w:style w:type="character" w:customStyle="1" w:styleId="HTMLPreformattedChar">
    <w:name w:val="HTML Preformatted Char"/>
    <w:basedOn w:val="DefaultParagraphFont"/>
    <w:link w:val="HTMLPreformatted"/>
    <w:uiPriority w:val="99"/>
    <w:rsid w:val="00B01E4B"/>
    <w:rPr>
      <w:rFonts w:ascii="Courier New" w:eastAsiaTheme="minorEastAsia" w:hAnsi="Courier New" w:cs="Courier New"/>
      <w:color w:val="auto"/>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arxiv.org/pdf/1904.05353"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www.domo.com/learn/article/unstructured-data-vs-strucuctured-data?utm_source=%20https://www.domo.com/learn/article/unstructured-data-vs-strucuctured-data" TargetMode="External"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gable.ai/blog/financial-data-quality-management" TargetMode="External"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s://www.ibm.com/think/topics/structured-vs-unstructured-data"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1.xml" /></Relationships>
</file>

<file path=word/_rels/fontTable.xml.rels><?xml version="1.0" encoding="UTF-8" standalone="yes"?>
<Relationships xmlns="http://schemas.openxmlformats.org/package/2006/relationships"><Relationship Id="rId3" Type="http://schemas.openxmlformats.org/officeDocument/2006/relationships/font" Target="fonts/Roboto-italic.ttf" /><Relationship Id="rId2" Type="http://schemas.openxmlformats.org/officeDocument/2006/relationships/font" Target="fonts/Roboto-bold.ttf" /><Relationship Id="rId6" Type="http://schemas.openxmlformats.org/officeDocument/2006/relationships/font" Target="fonts/NotoSansSymbols-bold.ttf" /><Relationship Id="rId1" Type="http://schemas.openxmlformats.org/officeDocument/2006/relationships/font" Target="fonts/Roboto-regular.ttf" /><Relationship Id="rId5" Type="http://schemas.openxmlformats.org/officeDocument/2006/relationships/font" Target="fonts/NotoSansSymbols-regular.ttf" /><Relationship Id="rId4" Type="http://schemas.openxmlformats.org/officeDocument/2006/relationships/font" Target="fonts/Roboto-boldItalic.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1787</Words>
  <Characters>10190</Characters>
  <Application>Microsoft Office Word</Application>
  <DocSecurity>0</DocSecurity>
  <Lines>84</Lines>
  <Paragraphs>23</Paragraphs>
  <ScaleCrop>false</ScaleCrop>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Nyasha Katonha</cp:lastModifiedBy>
  <cp:revision>7</cp:revision>
  <dcterms:created xsi:type="dcterms:W3CDTF">2025-10-05T13:37:00Z</dcterms:created>
  <dcterms:modified xsi:type="dcterms:W3CDTF">2025-10-05T13:42:00Z</dcterms:modified>
</cp:coreProperties>
</file>