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agwek1"/>
      </w:pPr>
      <w:r>
        <w:t xml:space="preserve">Chapter 1 with Heading 1</w:t>
      </w:r>
    </w:p>
    <w:p>
      <w:pPr>
        <w:pStyle w:val="Nagwek2"/>
      </w:pPr>
      <w:r>
        <w:t xml:space="preserve">Heading 2</w:t>
      </w:r>
    </w:p>
    <w:p>
      <w:pPr>
        <w:pStyle w:val="Nagwek3"/>
      </w:pPr>
      <w:r>
        <w:t xml:space="preserve">Heading 3</w:t>
      </w:r>
    </w:p>
    <w:p>
      <w:pPr>
        <w:pStyle w:val="FirstParagraph"/>
      </w:pPr>
      <w:r>
        <w:t xml:space="preserve">No style</w:t>
      </w:r>
    </w:p>
    <w:p>
      <w:pPr>
        <w:pStyle w:val="BodyText"/>
      </w:pPr>
      <w:r>
        <w:rPr>
          <w:i/>
        </w:rPr>
        <w:t xml:space="preserve">Italic</w:t>
      </w:r>
    </w:p>
    <w:p>
      <w:pPr>
        <w:pStyle w:val="BodyText"/>
      </w:pPr>
      <w:r>
        <w:rPr>
          <w:i/>
        </w:rPr>
        <w:t xml:space="preserve">Bold</w:t>
      </w:r>
    </w:p>
    <w:p>
      <w:pPr>
        <w:pStyle w:val="BodyText"/>
      </w:pPr>
      <w:r>
        <w:rPr>
          <w:b/>
        </w:rPr>
        <w:t xml:space="preserve">Bold</w:t>
      </w:r>
    </w:p>
    <w:p>
      <w:pPr>
        <w:pStyle w:val="BodyText"/>
      </w:pPr>
      <w:bookmarkStart w:id="0" w:name="eq:first"/>
      <w:r>
        <w:t/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α</m:t>
              </m:r>
            </m:sup>
          </m:sSup>
          <m:sSup>
            <m:e>
              <m:r>
                <m:t>e</m:t>
              </m:r>
            </m:e>
            <m:sup>
              <m:r>
                <m:t>β</m:t>
              </m:r>
              <m:sSup>
                <m:e>
                  <m:r>
                    <m:t>x</m:t>
                  </m:r>
                </m:e>
                <m:sup>
                  <m:r>
                    <m:t>γ</m:t>
                  </m:r>
                </m:sup>
              </m:sSup>
              <m:sSup>
                <m:e>
                  <m:r>
                    <m:t>e</m:t>
                  </m:r>
                </m:e>
                <m:sup>
                  <m:r>
                    <m:t>δ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ϵ</m:t>
                      </m:r>
                    </m:sup>
                  </m:sSup>
                </m:sup>
              </m:sSup>
            </m:sup>
          </m:sSup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  <w:r>
        <w:t xml:space="preserve"> </w:t>
      </w:r>
      <w:r>
        <w:t xml:space="preserve"> </w:t>
      </w:r>
      <w:bookmarkStart w:id="0" w:name="eq:second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)</m:t>
          </m:r>
          <m: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4</m:t>
              </m:r>
            </m:den>
          </m:f>
          <m:r>
            <m:t>  </m:t>
          </m:r>
          <m:r>
            <m:t>(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r>
        <w:t xml:space="preserve">From</w:t>
      </w:r>
      <w:r>
        <w:t xml:space="preserve"> </w:t>
      </w:r>
      <w:r>
        <w:t xml:space="preserve">(Gazzaniga et al. 2014)</w:t>
      </w:r>
      <w:r>
        <w:t xml:space="preserve"> </w:t>
      </w:r>
      <w:r>
        <w:t xml:space="preserve">and</w:t>
      </w:r>
      <w:r>
        <w:t xml:space="preserve"> </w:t>
      </w:r>
      <w:hyperlink w:anchor="eq:first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we can see that</w:t>
      </w:r>
      <w:r>
        <w:t xml:space="preserve"> </w:t>
      </w:r>
      <w:r>
        <w:t xml:space="preserve">(Mnih et al. 2013)</w:t>
      </w:r>
      <w:r>
        <w:t xml:space="preserve"> </w:t>
      </w:r>
      <w:r>
        <w:t xml:space="preserve">was right to claim (</w:t>
      </w:r>
      <w:hyperlink w:anchor="eq:second">
        <w:r>
          <w:rPr>
            <w:rStyle w:val="Hyperlink"/>
          </w:rPr>
          <w:t xml:space="preserve">2</w:t>
        </w:r>
      </w:hyperlink>
      <w:r>
        <w:t xml:space="preserve">) seems to be OK…</w:t>
      </w:r>
    </w:p>
    <w:p>
      <w:pPr>
        <w:pStyle w:val="Nagwek1"/>
      </w:pPr>
      <w:r>
        <w:t xml:space="preserve">References</w:t>
      </w:r>
    </w:p>
    <w:bookmarkStart w:id="22" w:name="refs"/>
    <w:bookmarkStart w:id="20" w:name="ref-gazzaniga2014"/>
    <w:p>
      <w:pPr>
        <w:pStyle w:val="Bibliography"/>
      </w:pPr>
      <w:r>
        <w:t xml:space="preserve">Gazzaniga, M. S., R. B. Ivry and G. R. Mangun (2014),</w:t>
      </w:r>
      <w:r>
        <w:t xml:space="preserve"> </w:t>
      </w:r>
      <w:r>
        <w:rPr>
          <w:i/>
        </w:rPr>
        <w:t xml:space="preserve">Cognitive Neuroscience: The Biology of the Mind</w:t>
      </w:r>
      <w:r>
        <w:t xml:space="preserve">, Fourth edition, New York, N.Y: W. W. Norton &amp; Company, Inc.</w:t>
      </w:r>
    </w:p>
    <w:bookmarkEnd w:id="20"/>
    <w:bookmarkStart w:id="21" w:name="ref-mnih2013"/>
    <w:p>
      <w:pPr>
        <w:pStyle w:val="Bibliography"/>
      </w:pPr>
      <w:r>
        <w:t xml:space="preserve">Mnih, V., K. Kavukcuoglu, D. Silver, A. Graves, I. Antonoglou, D. Wierstra and M. Riedmiller (2013), ‘Playing atari with deep reinforcement learning’,</w:t>
      </w:r>
      <w:r>
        <w:t xml:space="preserve"> </w:t>
      </w:r>
      <w:r>
        <w:rPr>
          <w:i/>
        </w:rPr>
        <w:t xml:space="preserve">arXiv Preprint arXiv:1312.5602</w:t>
      </w:r>
      <w:r>
        <w:t xml:space="preserve">.</w:t>
      </w:r>
    </w:p>
    <w:bookmarkEnd w:id="21"/>
    <w:bookmarkEnd w:id="22"/>
    <w:sectPr w:rsidR="00DC136E" w:rsidSect="00E039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260A32"/>
  </w:style>
  <w:style w:type="paragraph" w:styleId="Nagwek1">
    <w:name w:val="heading 1"/>
    <w:basedOn w:val="Normalny"/>
    <w:next w:val="Normalny"/>
    <w:link w:val="Nagwek1Znak"/>
    <w:uiPriority w:val="9"/>
    <w:qFormat/>
    <w:rsid w:val="00260A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60A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0A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60A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60A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60A3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60A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60A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60A3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60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60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60A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9"/>
    <w:rsid w:val="00260A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60A3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60A3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60A3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60A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60A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260A32"/>
    <w:pPr>
      <w:spacing w:after="200"/>
    </w:pPr>
    <w:rPr>
      <w:i/>
      <w:iCs/>
      <w:color w:val="44546A" w:themeColor="text2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260A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60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60A3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260A3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Pogrubienie">
    <w:name w:val="Strong"/>
    <w:uiPriority w:val="22"/>
    <w:qFormat/>
    <w:rsid w:val="00260A32"/>
    <w:rPr>
      <w:b/>
      <w:bCs/>
    </w:rPr>
  </w:style>
  <w:style w:type="character" w:styleId="Uwydatnienie">
    <w:name w:val="Emphasis"/>
    <w:uiPriority w:val="20"/>
    <w:qFormat/>
    <w:rsid w:val="00260A32"/>
    <w:rPr>
      <w:i/>
      <w:iCs/>
    </w:rPr>
  </w:style>
  <w:style w:type="paragraph" w:styleId="Bezodstpw">
    <w:name w:val="No Spacing"/>
    <w:basedOn w:val="Normalny"/>
    <w:link w:val="BezodstpwZnak"/>
    <w:uiPriority w:val="1"/>
    <w:qFormat/>
    <w:rsid w:val="00260A32"/>
  </w:style>
  <w:style w:type="character" w:customStyle="1" w:styleId="BezodstpwZnak">
    <w:name w:val="Bez odstępów Znak"/>
    <w:basedOn w:val="Domylnaczcionkaakapitu"/>
    <w:link w:val="Bezodstpw"/>
    <w:uiPriority w:val="1"/>
    <w:rsid w:val="00260A32"/>
  </w:style>
  <w:style w:type="paragraph" w:styleId="Akapitzlist">
    <w:name w:val="List Paragraph"/>
    <w:basedOn w:val="Normalny"/>
    <w:uiPriority w:val="34"/>
    <w:qFormat/>
    <w:rsid w:val="00260A3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260A3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60A32"/>
    <w:rPr>
      <w:i/>
      <w:iCs/>
      <w:color w:val="404040" w:themeColor="text1" w:themeTint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60A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60A32"/>
    <w:rPr>
      <w:i/>
      <w:iCs/>
      <w:color w:val="4472C4" w:themeColor="accent1"/>
    </w:rPr>
  </w:style>
  <w:style w:type="character" w:styleId="Wyrnieniedelikatne">
    <w:name w:val="Subtle Emphasis"/>
    <w:uiPriority w:val="19"/>
    <w:qFormat/>
    <w:rsid w:val="00260A32"/>
    <w:rPr>
      <w:i/>
      <w:iCs/>
      <w:color w:val="404040" w:themeColor="text1" w:themeTint="BF"/>
    </w:rPr>
  </w:style>
  <w:style w:type="character" w:styleId="Wyrnienieintensywne">
    <w:name w:val="Intense Emphasis"/>
    <w:uiPriority w:val="21"/>
    <w:qFormat/>
    <w:rsid w:val="00260A32"/>
    <w:rPr>
      <w:i/>
      <w:iCs/>
      <w:color w:val="4472C4" w:themeColor="accent1"/>
    </w:rPr>
  </w:style>
  <w:style w:type="character" w:styleId="Odwoaniedelikatne">
    <w:name w:val="Subtle Reference"/>
    <w:uiPriority w:val="31"/>
    <w:qFormat/>
    <w:rsid w:val="00260A32"/>
    <w:rPr>
      <w:smallCaps/>
      <w:color w:val="5A5A5A" w:themeColor="text1" w:themeTint="A5"/>
    </w:rPr>
  </w:style>
  <w:style w:type="character" w:styleId="Odwoanieintensywne">
    <w:name w:val="Intense Reference"/>
    <w:uiPriority w:val="32"/>
    <w:qFormat/>
    <w:rsid w:val="00260A32"/>
    <w:rPr>
      <w:b/>
      <w:bCs/>
      <w:smallCaps/>
      <w:color w:val="4472C4" w:themeColor="accent1"/>
      <w:spacing w:val="5"/>
    </w:rPr>
  </w:style>
  <w:style w:type="character" w:styleId="Tytuksiki">
    <w:name w:val="Book Title"/>
    <w:uiPriority w:val="33"/>
    <w:qFormat/>
    <w:rsid w:val="00260A32"/>
    <w:rPr>
      <w:b/>
      <w:bCs/>
      <w:i/>
      <w:iC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60A32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2019-12-17T18:19:55Z</dcterms:created>
  <dcterms:modified xsi:type="dcterms:W3CDTF">2019-12-17T18:19:55Z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Andrzej Wodecki</vt:lpwstr>
  </property>
  <property fmtid="{D5CDD505-2E9C-101B-9397-08002B2CF9AE}" pid="3" name="Title">
    <vt:lpwstr>draft</vt:lpwstr>
  </property>
  <property fmtid="{D5CDD505-2E9C-101B-9397-08002B2CF9AE}" pid="4" name="bibliography">
    <vt:lpwstr>/Users/Andy/Dysk Google/Scrivener/setup/! final setup/github/setup/mylibrary.bib</vt:lpwstr>
  </property>
  <property fmtid="{D5CDD505-2E9C-101B-9397-08002B2CF9AE}" pid="5" name="csl">
    <vt:lpwstr>/Users/Andy/Dysk Google/Scrivener/setup/! final setup/github/setup/ee.csl</vt:lpwstr>
  </property>
</Properties>
</file>