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color w:val="1A5C38"/>
          <w:sz w:val="34"/>
        </w:rPr>
        <w:t>Green Sourcing Compass — CBAM Cost Calculator</w:t>
      </w:r>
      <w:r>
        <w:br/>
      </w:r>
      <w:r>
        <w:rPr>
          <w:b w:val="0"/>
          <w:i w:val="0"/>
          <w:color w:val="1A5C38"/>
          <w:sz w:val="34"/>
        </w:rPr>
        <w:t>Methodology &amp; Verification Document</w:t>
      </w:r>
    </w:p>
    <w:p>
      <w:pPr>
        <w:jc w:val="left"/>
      </w:pPr>
      <w:r>
        <w:rPr>
          <w:b w:val="0"/>
          <w:i w:val="0"/>
          <w:color w:val="555555"/>
          <w:sz w:val="19"/>
        </w:rPr>
        <w:t>GCC Sustainability Committee, German Chamber of Commerce Hong Kong</w:t>
      </w:r>
      <w:r>
        <w:br/>
      </w:r>
      <w:r>
        <w:rPr>
          <w:b w:val="0"/>
          <w:i w:val="0"/>
          <w:color w:val="555555"/>
          <w:sz w:val="19"/>
        </w:rPr>
        <w:t xml:space="preserve"> </w:t>
      </w:r>
      <w:r>
        <w:rPr>
          <w:b/>
          <w:i w:val="0"/>
          <w:color w:val="555555"/>
          <w:sz w:val="19"/>
        </w:rPr>
        <w:t>Version 3.1</w:t>
      </w:r>
      <w:r>
        <w:rPr>
          <w:b w:val="0"/>
          <w:i w:val="0"/>
          <w:color w:val="555555"/>
          <w:sz w:val="19"/>
        </w:rPr>
        <w:t xml:space="preserve"> · Constants as deployed 15 August 2026 (V2 platform) · Prepared for member verification of the calculation logic</w:t>
      </w:r>
      <w:r>
        <w:br/>
      </w:r>
      <w:r>
        <w:rPr>
          <w:b w:val="0"/>
          <w:i w:val="0"/>
          <w:color w:val="555555"/>
          <w:sz w:val="19"/>
        </w:rPr>
        <w:t xml:space="preserve"> Major change vs v2.0: the calculator now applies the </w:t>
      </w:r>
      <w:r>
        <w:rPr>
          <w:b/>
          <w:i w:val="0"/>
          <w:color w:val="555555"/>
          <w:sz w:val="19"/>
        </w:rPr>
        <w:t>official country-specific default values</w:t>
      </w:r>
      <w:r>
        <w:rPr>
          <w:b w:val="0"/>
          <w:i w:val="0"/>
          <w:color w:val="555555"/>
          <w:sz w:val="19"/>
        </w:rPr>
        <w:t xml:space="preserve"> of Implementing Regulation (EU) 2025/2621 </w:t>
      </w:r>
      <w:r>
        <w:rPr>
          <w:b/>
          <w:i w:val="0"/>
          <w:color w:val="555555"/>
          <w:sz w:val="19"/>
        </w:rPr>
        <w:t>as corrected by IR (EU) 2026/1740</w:t>
      </w:r>
      <w:r>
        <w:rPr>
          <w:b w:val="0"/>
          <w:i w:val="0"/>
          <w:color w:val="555555"/>
          <w:sz w:val="19"/>
        </w:rPr>
        <w:t xml:space="preserve"> (31 July 2026, retroactive to 1 January 2026), the year-by-year CBAM factor schedule to 2034, and route-resolved benchmarks. All values below were extracted from the published Official Journal texts on EUR-Lex (primary sources).</w:t>
      </w:r>
    </w:p>
    <w:p>
      <w:pPr>
        <w:pStyle w:val="Heading1"/>
      </w:pPr>
      <w:r>
        <w:rPr>
          <w:b w:val="0"/>
          <w:i w:val="0"/>
          <w:color w:val="1A5C38"/>
          <w:sz w:val="26"/>
        </w:rPr>
        <w:t>1. Purpose and scope</w:t>
      </w:r>
    </w:p>
    <w:p>
      <w:pPr>
        <w:jc w:val="left"/>
      </w:pPr>
      <w:r>
        <w:rPr>
          <w:b w:val="0"/>
          <w:i w:val="0"/>
        </w:rPr>
        <w:t xml:space="preserve">The calculator produces an </w:t>
      </w:r>
      <w:r>
        <w:rPr>
          <w:b/>
          <w:i w:val="0"/>
        </w:rPr>
        <w:t>indicative estimate</w:t>
      </w:r>
      <w:r>
        <w:rPr>
          <w:b w:val="0"/>
          <w:i w:val="0"/>
        </w:rPr>
        <w:t xml:space="preserve"> of the annual EU CBAM certificate cost. In default mode it now reproduces the </w:t>
      </w:r>
      <w:r>
        <w:rPr>
          <w:b/>
          <w:i w:val="0"/>
        </w:rPr>
        <w:t>official default-values scenario</w:t>
      </w:r>
      <w:r>
        <w:rPr>
          <w:b w:val="0"/>
          <w:i w:val="0"/>
        </w:rPr>
        <w:t xml:space="preserve"> — the cost an EU importer faces if the supplier provides no verified emissions data. In custom mode the user's verified installation values are used instead. It is a screening tool, not a CBAM declaration; a prominent disclaimer states this above every result.</w:t>
      </w:r>
    </w:p>
    <w:p>
      <w:pPr>
        <w:pStyle w:val="Heading1"/>
      </w:pPr>
      <w:r>
        <w:rPr>
          <w:b w:val="0"/>
          <w:i w:val="0"/>
          <w:color w:val="1A5C38"/>
          <w:sz w:val="26"/>
        </w:rPr>
        <w:t>2. Calculation method, step by step</w:t>
      </w:r>
    </w:p>
    <w:p>
      <w:pPr>
        <w:jc w:val="left"/>
      </w:pPr>
      <w:r>
        <w:rPr>
          <w:b w:val="0"/>
          <w:i w:val="0"/>
        </w:rPr>
        <w:t xml:space="preserve">Inputs: product sector </w:t>
      </w:r>
      <w:r>
        <w:rPr>
          <w:b w:val="0"/>
          <w:i/>
        </w:rPr>
        <w:t>s</w:t>
      </w:r>
      <w:r>
        <w:rPr>
          <w:b w:val="0"/>
          <w:i w:val="0"/>
        </w:rPr>
        <w:t xml:space="preserve">, origin country </w:t>
      </w:r>
      <w:r>
        <w:rPr>
          <w:b w:val="0"/>
          <w:i/>
        </w:rPr>
        <w:t>c</w:t>
      </w:r>
      <w:r>
        <w:rPr>
          <w:b w:val="0"/>
          <w:i w:val="0"/>
        </w:rPr>
        <w:t xml:space="preserve">, import year </w:t>
      </w:r>
      <w:r>
        <w:rPr>
          <w:b w:val="0"/>
          <w:i/>
        </w:rPr>
        <w:t>y</w:t>
      </w:r>
      <w:r>
        <w:rPr>
          <w:b w:val="0"/>
          <w:i w:val="0"/>
        </w:rPr>
        <w:t xml:space="preserve"> (2026–2034), volume </w:t>
      </w:r>
      <w:r>
        <w:rPr>
          <w:b w:val="0"/>
          <w:i/>
        </w:rPr>
        <w:t>V</w:t>
      </w:r>
      <w:r>
        <w:rPr>
          <w:b w:val="0"/>
          <w:i w:val="0"/>
        </w:rPr>
        <w:t xml:space="preserve"> (t), emissions mode (official default or verified custom value </w:t>
      </w:r>
      <w:r>
        <w:rPr>
          <w:b w:val="0"/>
          <w:i/>
        </w:rPr>
        <w:t>E</w:t>
      </w:r>
      <w:r>
        <w:rPr>
          <w:b w:val="0"/>
          <w:i w:val="0"/>
        </w:rPr>
        <w:t>), aluminium product form where relevant, and optionally the carbon price actually paid at origin.</w:t>
      </w:r>
    </w:p>
    <w:p>
      <w:pPr>
        <w:ind w:left="283"/>
        <w:jc w:val="left"/>
      </w:pPr>
      <w:r>
        <w:rPr>
          <w:rFonts w:ascii="Consolas" w:hAnsi="Consolas"/>
          <w:b w:val="0"/>
          <w:i w:val="0"/>
          <w:sz w:val="19"/>
        </w:rPr>
        <w:t>1. Default emissions (default mode): E = AnnexI(c, s) × (1 + markup(y, s)) — AnnexI values EXCLUDE mark-up</w:t>
      </w:r>
      <w:r>
        <w:br/>
      </w:r>
      <w:r>
        <w:rPr>
          <w:rFonts w:ascii="Consolas" w:hAnsi="Consolas"/>
          <w:b w:val="0"/>
          <w:i w:val="0"/>
          <w:sz w:val="19"/>
        </w:rPr>
        <w:t xml:space="preserve"> 2. Benchmark: B = IR2620_ColumnB(bucket) [+ aluminium form add-on]; in default mode the bucket follows the route Annex I assigns to the origin country</w:t>
      </w:r>
      <w:r>
        <w:br/>
      </w:r>
      <w:r>
        <w:rPr>
          <w:rFonts w:ascii="Consolas" w:hAnsi="Consolas"/>
          <w:b w:val="0"/>
          <w:i w:val="0"/>
          <w:sz w:val="19"/>
        </w:rPr>
        <w:t xml:space="preserve"> 3. Free-allocation deduction: FA = B × factor(y) (factor per Dir. 2003/87/EC Art. 10a(1a))</w:t>
      </w:r>
      <w:r>
        <w:br/>
      </w:r>
      <w:r>
        <w:rPr>
          <w:rFonts w:ascii="Consolas" w:hAnsi="Consolas"/>
          <w:b w:val="0"/>
          <w:i w:val="0"/>
          <w:sz w:val="19"/>
        </w:rPr>
        <w:t xml:space="preserve"> 4. Liable emissions: L = max(0, E − FA)</w:t>
      </w:r>
      <w:r>
        <w:br/>
      </w:r>
      <w:r>
        <w:rPr>
          <w:rFonts w:ascii="Consolas" w:hAnsi="Consolas"/>
          <w:b w:val="0"/>
          <w:i w:val="0"/>
          <w:sz w:val="19"/>
        </w:rPr>
        <w:t xml:space="preserve"> 5. Carbon-price credit: r = min(1, P</w:t>
      </w:r>
      <w:r>
        <w:rPr>
          <w:rFonts w:ascii="Consolas" w:hAnsi="Consolas"/>
          <w:b w:val="0"/>
          <w:i w:val="0"/>
          <w:sz w:val="19"/>
        </w:rPr>
        <w:t>paid</w:t>
      </w:r>
      <w:r>
        <w:rPr>
          <w:rFonts w:ascii="Consolas" w:hAnsi="Consolas"/>
          <w:b w:val="0"/>
          <w:i w:val="0"/>
          <w:sz w:val="19"/>
        </w:rPr>
        <w:t xml:space="preserve"> / P</w:t>
      </w:r>
      <w:r>
        <w:rPr>
          <w:rFonts w:ascii="Consolas" w:hAnsi="Consolas"/>
          <w:b w:val="0"/>
          <w:i w:val="0"/>
          <w:sz w:val="19"/>
        </w:rPr>
        <w:t>CBAM</w:t>
      </w:r>
      <w:r>
        <w:rPr>
          <w:rFonts w:ascii="Consolas" w:hAnsi="Consolas"/>
          <w:b w:val="0"/>
          <w:i w:val="0"/>
          <w:sz w:val="19"/>
        </w:rPr>
        <w:t>) (P</w:t>
      </w:r>
      <w:r>
        <w:rPr>
          <w:rFonts w:ascii="Consolas" w:hAnsi="Consolas"/>
          <w:b w:val="0"/>
          <w:i w:val="0"/>
          <w:sz w:val="19"/>
        </w:rPr>
        <w:t>paid</w:t>
      </w:r>
      <w:r>
        <w:rPr>
          <w:rFonts w:ascii="Consolas" w:hAnsi="Consolas"/>
          <w:b w:val="0"/>
          <w:i w:val="0"/>
          <w:sz w:val="19"/>
        </w:rPr>
        <w:t xml:space="preserve"> = user input, else headline table)</w:t>
      </w:r>
      <w:r>
        <w:br/>
      </w:r>
      <w:r>
        <w:rPr>
          <w:rFonts w:ascii="Consolas" w:hAnsi="Consolas"/>
          <w:b w:val="0"/>
          <w:i w:val="0"/>
          <w:sz w:val="19"/>
        </w:rPr>
        <w:t xml:space="preserve"> 6. Cost: C = L × (1 − r) × P</w:t>
      </w:r>
      <w:r>
        <w:rPr>
          <w:rFonts w:ascii="Consolas" w:hAnsi="Consolas"/>
          <w:b w:val="0"/>
          <w:i w:val="0"/>
          <w:sz w:val="19"/>
        </w:rPr>
        <w:t>CBAM</w:t>
      </w:r>
      <w:r>
        <w:rPr>
          <w:rFonts w:ascii="Consolas" w:hAnsi="Consolas"/>
          <w:b w:val="0"/>
          <w:i w:val="0"/>
          <w:sz w:val="19"/>
        </w:rPr>
        <w:t>; annual total = C × V</w:t>
      </w:r>
      <w:r>
        <w:br/>
      </w:r>
      <w:r>
        <w:rPr>
          <w:rFonts w:ascii="Consolas" w:hAnsi="Consolas"/>
          <w:b w:val="0"/>
          <w:i w:val="0"/>
          <w:sz w:val="19"/>
        </w:rPr>
        <w:t xml:space="preserve"> 7. Projection: steps 1–6 repeated for every year 2026–2034 (mark-up and factor change per year); ±€20 price sensitivity band displayed</w:t>
      </w:r>
    </w:p>
    <w:p>
      <w:pPr>
        <w:pStyle w:val="Heading2"/>
      </w:pPr>
      <w:r>
        <w:rPr>
          <w:b w:val="0"/>
          <w:i w:val="0"/>
          <w:color w:val="003366"/>
          <w:sz w:val="23"/>
        </w:rPr>
        <w:t>2.1 Input-resolution logic (what the calculator decides for the user)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Decision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Rule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Legal basis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Emissions intensity E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1) user-entered verified value, if custom mode; else 2) country row in corrected Annex I; else 3) Annex I "Other Countries and Territories" row (this is what the regulation itself prescribes for missing/"–" entries); the editorial sector average survives only as a last-resort safety net that no selectable origin currently reaches. In default mode the year's mark-up is applied on top (base values in the corrected Annex exclude it).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IR 2025/2621 Annex I as corrected by IR 2026/1740, incl. introductory part (fallback rule and mark-up wording verbatim)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Benchmark B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In default mode with an official country value, the benchmark follows the production route Annex I assigns to that origin (route letter C/D/E/K/L) — NOT the user's route selection; the result card notes this when they differ. In custom mode the user's own sector/route selection applies. Aluminium form add-on (+0.056 / +0.060 / +0.166) added on top.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Annex I route flags; IR 2025/2620 Annex, Column B (default-values path)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Free allocation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B × CBAM factor of the import year (97.5% in 2026 → 0% from 2034).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Dir. 2003/87/EC Art. 10a(1a); Reg. (EU) 2023/956 Art. 31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Carbon-price credit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User-entered price actually paid, if provided; else headline table (approximation, labelled as such). Credit ratio capped at 1.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Reg. (EU) 2023/956 Art. 9 (only the price effectively paid is creditable)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Certificates &amp; cost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Liable emissions × (1 − credit ratio) × certificate price; certificate price is the official quarterly figure, labelled with its vintage.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Reg. (EU) 2023/956 Arts. 6, 20–22; Commission price publication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003366"/>
          <w:sz w:val="23"/>
        </w:rPr>
        <w:t>2.2 Fully worked derivation — every intermediate value (Example A)</w:t>
      </w:r>
    </w:p>
    <w:p>
      <w:pPr>
        <w:jc w:val="left"/>
      </w:pPr>
      <w:r>
        <w:rPr>
          <w:b w:val="0"/>
          <w:i w:val="0"/>
        </w:rPr>
        <w:t>1,000 t hot-rolled coil from China, import year 2026, no verified data, no carbon-price entry: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i w:val="0"/>
                <w:color w:val="1A5C38"/>
                <w:sz w:val="19"/>
              </w:rPr>
              <w:t>Step</w:t>
            </w:r>
          </w:p>
        </w:tc>
        <w:tc>
          <w:tcPr>
            <w:tcW w:type="dxa" w:w="2436"/>
          </w:tcPr>
          <w:p>
            <w:r>
              <w:rPr>
                <w:b/>
                <w:i w:val="0"/>
                <w:color w:val="1A5C38"/>
                <w:sz w:val="19"/>
              </w:rPr>
              <w:t>Operation</w:t>
            </w:r>
          </w:p>
        </w:tc>
        <w:tc>
          <w:tcPr>
            <w:tcW w:type="dxa" w:w="2436"/>
          </w:tcPr>
          <w:p>
            <w:r>
              <w:rPr>
                <w:b/>
                <w:i w:val="0"/>
                <w:color w:val="1A5C38"/>
                <w:sz w:val="19"/>
              </w:rPr>
              <w:t>Value</w:t>
            </w:r>
          </w:p>
        </w:tc>
        <w:tc>
          <w:tcPr>
            <w:tcW w:type="dxa" w:w="2436"/>
          </w:tcPr>
          <w:p>
            <w:r>
              <w:rPr>
                <w:b/>
                <w:i w:val="0"/>
                <w:color w:val="1A5C38"/>
                <w:sz w:val="19"/>
              </w:rPr>
              <w:t>Source of the number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Annex I base default, China, 7208 (route C)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3.187 tCO₂e/t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IR 2026/1740 Annex I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Mark-up 2026 (steel): 3.187 × 1.10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3.5057 tCO₂e/t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Annex I introductory part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Benchmark, HRC route C (Column B)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1.370 tCO₂e/t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IR 2025/2620 Annex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Free allocation: 1.370 × 0.975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1.33575 tCO₂e/t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Dir. 2003/87/EC Art. 10a(1a)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Liable: 3.5057 − 1.33575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2.16995 tCO₂e/t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Credit ratio: 10 / 75.28 (China headline)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0.13284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Art. 9; headline table §3.4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Net certificates: 2.16995 × (1 − 0.13284)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1.88169 tCO₂e/t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Cost/t: 1.88169 × €75.28</w:t>
            </w:r>
          </w:p>
        </w:tc>
        <w:tc>
          <w:tcPr>
            <w:tcW w:type="dxa" w:w="2436"/>
          </w:tcPr>
          <w:p>
            <w:r>
              <w:rPr>
                <w:b/>
                <w:i w:val="0"/>
                <w:sz w:val="19"/>
              </w:rPr>
              <w:t>€141.65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Q2 2026 certificate price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Annual: × 1,000 t</w:t>
            </w:r>
          </w:p>
        </w:tc>
        <w:tc>
          <w:tcPr>
            <w:tcW w:type="dxa" w:w="2436"/>
          </w:tcPr>
          <w:p>
            <w:r>
              <w:rPr>
                <w:b/>
                <w:i w:val="0"/>
                <w:sz w:val="19"/>
              </w:rPr>
              <w:t>≈ €141,654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jc w:val="left"/>
      </w:pPr>
      <w:r>
        <w:rPr>
          <w:b/>
          <w:i w:val="0"/>
        </w:rPr>
        <w:t>Reproduction:</w:t>
      </w:r>
      <w:r>
        <w:rPr>
          <w:b w:val="0"/>
          <w:i w:val="0"/>
        </w:rPr>
        <w:t xml:space="preserve"> the same computation is pinned in the automated test suite; the reviewer can reproduce it on the CBAM page (sector Iron &amp; Steel BOF, country China, 1,000 t, year 2026, defaults) or with a calculator from the table above. The constants live in a single data file (v2-cbam-data.js) whose comments carry the same source references as this document.</w:t>
      </w:r>
    </w:p>
    <w:p>
      <w:pPr>
        <w:pStyle w:val="Heading1"/>
      </w:pPr>
      <w:r>
        <w:rPr>
          <w:b w:val="0"/>
          <w:i w:val="0"/>
          <w:color w:val="1A5C38"/>
          <w:sz w:val="26"/>
        </w:rPr>
        <w:t>3. Constants and sources — all verified against EUR-Lex</w:t>
      </w:r>
    </w:p>
    <w:p>
      <w:pPr>
        <w:pStyle w:val="Heading2"/>
      </w:pPr>
      <w:r>
        <w:rPr>
          <w:b w:val="0"/>
          <w:i w:val="0"/>
          <w:color w:val="003366"/>
          <w:sz w:val="23"/>
        </w:rPr>
        <w:t>3.1 Certificate price and CBAM factor schedule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Constant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Value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Source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Certificate price P</w:t>
            </w:r>
            <w:r>
              <w:rPr>
                <w:b w:val="0"/>
                <w:i w:val="0"/>
                <w:sz w:val="19"/>
              </w:rPr>
              <w:t>CBAM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€75.28 /tCO₂e (Q2 2026, published 6 Jul 2026)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Commission price page (taxation-customs.ec.europa.eu). Updated quarterly in 2026, weekly from 2027 — maintenance rule below.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CBAM factor (free-allocation share)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2026: 97.5% · 2027: 95% · 2028: 90% · 2029: 77.5% · 2030: 51.5% · 2031: 39% · 2032: 26.5% · 2033: 14% · 2034+: 0%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Directive 2003/87/EC Art. 10a(1a), consolidated text (CELEX 02003L0087-20240301), quoted verbatim. Unchanged by Reg. (EU) 2025/2083.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Default-value mark-up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Cement, iron &amp; steel, aluminium, hydrogen: +10% (2026), +20% (2027), +30% (2028+). Fertilisers: +1% flat.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Corrected Annex I introductory part, IR (EU) 2026/1740 (verbatim).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003366"/>
          <w:sz w:val="23"/>
        </w:rPr>
        <w:t>3.2 CBAM benchmarks (IR 2025/2620, Column B = default-values path)</w:t>
      </w:r>
    </w:p>
    <w:p>
      <w:pPr>
        <w:jc w:val="left"/>
      </w:pPr>
      <w:r>
        <w:rPr>
          <w:b w:val="0"/>
          <w:i w:val="0"/>
        </w:rPr>
        <w:t>The Annex distinguishes Column A (process benchmark, actual-data path) from Column B (benchmark including precursors, default-values path). The calculator uses Column B, consistent with its default-values scenario.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Bucket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Benchmark (tCO₂e/t)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Annex reference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Steel — BF-BOF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1.370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HRC 7208, route (C) — verified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Steel — DRI+EAF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0.481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HRC, route (D) — verified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Steel — scrap-EAF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0.072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HRC, route (E) — verified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Aluminium primary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1.423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Unwrought 7601, route (K) — verified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Aluminium secondary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0.091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Unwrought 7601, route (L) — verified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Aluminium form add-ons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+0.056 semis (bars, wire, plates, sheets) · +0.060 profiles/tubes/structures · +0.166 foil &amp; containers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Column A add-ons, 7603–7616 — three tiers (v2.0's single +0.166 "end-use" tier corrected)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Cement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0.666</w:t>
            </w:r>
            <w:r>
              <w:rPr>
                <w:b w:val="0"/>
                <w:i w:val="0"/>
                <w:sz w:val="19"/>
              </w:rPr>
              <w:t xml:space="preserve"> (grey Portland 2523 29 00)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Corrected in v3.0</w:t>
            </w:r>
            <w:r>
              <w:rPr>
                <w:b w:val="0"/>
                <w:i w:val="0"/>
                <w:sz w:val="19"/>
              </w:rPr>
              <w:t xml:space="preserve"> — v2.0 used 0.83, which is not the Annex value; white cement is 0.859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Fertilisers — ammonia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1.522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2814 10 00 — verified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Fertilisers — urea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0.902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3102 10 19, Column B — verified (new bucket in v3.0)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Hydrogen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5.089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Corrected in v3.0</w:t>
            </w:r>
            <w:r>
              <w:rPr>
                <w:b w:val="0"/>
                <w:i w:val="0"/>
                <w:sz w:val="19"/>
              </w:rPr>
              <w:t xml:space="preserve"> — v2.0's ETS-derived 6.84 replaced by the actual Annex value for 2804 10 00 (verification item V3 resolved)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003366"/>
          <w:sz w:val="23"/>
        </w:rPr>
        <w:t>3.3 Country default values (corrected Annex I, IR 2026/1740 — base values EXCLUDING mark-up, tCO₂e/t)</w:t>
      </w:r>
    </w:p>
    <w:p>
      <w:pPr>
        <w:jc w:val="left"/>
      </w:pPr>
      <w:r>
        <w:rPr>
          <w:b w:val="0"/>
          <w:i w:val="0"/>
        </w:rPr>
        <w:t>One value per product per country; the route letter is Annex I's assumed production route for that origin, which selects the benchmark. "—" = no country entry: the regulation directs use of the "Other Countries and Territories" row. steel = HRC 7208 · alu = unwrought 7601 · cement = grey Portland 2523 29 00 (incl. indirect) · ammonia = 2814 10 00 (incl. indirect) · urea = 3102 10 19 (incl. indirect).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  <w:i w:val="0"/>
                <w:color w:val="1A5C38"/>
                <w:sz w:val="19"/>
              </w:rPr>
              <w:t>Country</w:t>
            </w:r>
          </w:p>
        </w:tc>
        <w:tc>
          <w:tcPr>
            <w:tcW w:type="dxa" w:w="1392"/>
          </w:tcPr>
          <w:p>
            <w:r>
              <w:rPr>
                <w:b/>
                <w:i w:val="0"/>
                <w:color w:val="1A5C38"/>
                <w:sz w:val="19"/>
              </w:rPr>
              <w:t>Steel (route)</w:t>
            </w:r>
          </w:p>
        </w:tc>
        <w:tc>
          <w:tcPr>
            <w:tcW w:type="dxa" w:w="1392"/>
          </w:tcPr>
          <w:p>
            <w:r>
              <w:rPr>
                <w:b/>
                <w:i w:val="0"/>
                <w:color w:val="1A5C38"/>
                <w:sz w:val="19"/>
              </w:rPr>
              <w:t>Aluminium (route)</w:t>
            </w:r>
          </w:p>
        </w:tc>
        <w:tc>
          <w:tcPr>
            <w:tcW w:type="dxa" w:w="1392"/>
          </w:tcPr>
          <w:p>
            <w:r>
              <w:rPr>
                <w:b/>
                <w:i w:val="0"/>
                <w:color w:val="1A5C38"/>
                <w:sz w:val="19"/>
              </w:rPr>
              <w:t>Cement</w:t>
            </w:r>
          </w:p>
        </w:tc>
        <w:tc>
          <w:tcPr>
            <w:tcW w:type="dxa" w:w="1392"/>
          </w:tcPr>
          <w:p>
            <w:r>
              <w:rPr>
                <w:b/>
                <w:i w:val="0"/>
                <w:color w:val="1A5C38"/>
                <w:sz w:val="19"/>
              </w:rPr>
              <w:t>Ammonia</w:t>
            </w:r>
          </w:p>
        </w:tc>
        <w:tc>
          <w:tcPr>
            <w:tcW w:type="dxa" w:w="1392"/>
          </w:tcPr>
          <w:p>
            <w:r>
              <w:rPr>
                <w:b/>
                <w:i w:val="0"/>
                <w:color w:val="1A5C38"/>
                <w:sz w:val="19"/>
              </w:rPr>
              <w:t>Urea</w:t>
            </w:r>
          </w:p>
        </w:tc>
        <w:tc>
          <w:tcPr>
            <w:tcW w:type="dxa" w:w="1392"/>
          </w:tcPr>
          <w:p>
            <w:r>
              <w:rPr>
                <w:b/>
                <w:i w:val="0"/>
                <w:color w:val="1A5C38"/>
                <w:sz w:val="19"/>
              </w:rPr>
              <w:t>Hydrogen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China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3.187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3.000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1.420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4.360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2.850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26.640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India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4.280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1.870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1.480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3.280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2.220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14.030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Türkiye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2.428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1.700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2.270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1.510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Russia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3.430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2.160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1.380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2.260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1.470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South Korea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2.118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0.360 (L)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0.940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1.540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14.030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Ukraine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2.483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0.360 (L)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1.380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2.250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1.450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United Kingdom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2.420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1.870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0.980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2.050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1.260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Vietnam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2.350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0.360 (L)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3.610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2.430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Indonesia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8.230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1.700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2.280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1.580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Brazil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1.620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1.700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3.210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2.070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Japan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2.100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0.360 (L)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0.890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2.190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1.520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14.030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Egypt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1.870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1.290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2.050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1.390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10.820</w:t>
            </w:r>
          </w:p>
        </w:tc>
      </w:tr>
      <w:tr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South Africa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4.140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2.358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3.640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2.360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25.940</w:t>
            </w:r>
          </w:p>
        </w:tc>
      </w:tr>
      <w:tr>
        <w:tc>
          <w:tcPr>
            <w:tcW w:type="dxa" w:w="1392"/>
          </w:tcPr>
          <w:p>
            <w:r>
              <w:rPr>
                <w:b/>
                <w:i w:val="0"/>
                <w:sz w:val="19"/>
              </w:rPr>
              <w:t>Other Countries (Annex I fallback row)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4.049 (C)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2.203 (K)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1.440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3.130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2.720</w:t>
            </w:r>
          </w:p>
        </w:tc>
        <w:tc>
          <w:tcPr>
            <w:tcW w:type="dxa" w:w="1392"/>
          </w:tcPr>
          <w:p>
            <w:r>
              <w:rPr>
                <w:b w:val="0"/>
                <w:i w:val="0"/>
                <w:sz w:val="19"/>
              </w:rPr>
              <w:t>17.740</w:t>
            </w:r>
          </w:p>
        </w:tc>
      </w:tr>
    </w:tbl>
    <w:p/>
    <w:p>
      <w:pPr>
        <w:jc w:val="left"/>
      </w:pPr>
      <w:r>
        <w:rPr>
          <w:b w:val="0"/>
          <w:i w:val="0"/>
        </w:rPr>
        <w:t>Routes: (C) BF-BOF · (D) DRI-EAF · (E) scrap-EAF · (K) primary aluminium · (L) secondary aluminium. Note KR/UA/VN/JP aluminium is treated as secondary (0.360) by Annex I.</w:t>
      </w:r>
    </w:p>
    <w:p>
      <w:pPr>
        <w:pStyle w:val="Heading2"/>
      </w:pPr>
      <w:r>
        <w:rPr>
          <w:b w:val="0"/>
          <w:i w:val="0"/>
          <w:color w:val="003366"/>
          <w:sz w:val="23"/>
        </w:rPr>
        <w:t>3.4 Origin carbon prices (Art. 9 credit)</w:t>
      </w:r>
    </w:p>
    <w:p>
      <w:pPr>
        <w:jc w:val="left"/>
      </w:pPr>
      <w:r>
        <w:rPr>
          <w:b w:val="0"/>
          <w:i w:val="0"/>
        </w:rPr>
        <w:t xml:space="preserve">Unchanged from v2.0 (headline mid-2026 values: CN 10, GB 60, JP 12, KR 6, ZA 15, UA 0.6, others 0) — but the calculator now also accepts the </w:t>
      </w:r>
      <w:r>
        <w:rPr>
          <w:b/>
          <w:i w:val="0"/>
        </w:rPr>
        <w:t>price actually paid</w:t>
      </w:r>
      <w:r>
        <w:rPr>
          <w:b w:val="0"/>
          <w:i w:val="0"/>
        </w:rPr>
        <w:t xml:space="preserve"> as a user input, which overrides the headline table; Art. 9 credits only the effectively-paid price.</w:t>
      </w:r>
    </w:p>
    <w:p>
      <w:pPr>
        <w:pStyle w:val="Heading1"/>
      </w:pPr>
      <w:r>
        <w:rPr>
          <w:b w:val="0"/>
          <w:i w:val="0"/>
          <w:color w:val="1A5C38"/>
          <w:sz w:val="26"/>
        </w:rPr>
        <w:t>4. Worked examples (both pinned in the automated regression suite)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Scenario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Computation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Result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Official default:</w:t>
            </w:r>
            <w:r>
              <w:rPr>
                <w:b w:val="0"/>
                <w:i w:val="0"/>
                <w:sz w:val="19"/>
              </w:rPr>
              <w:t xml:space="preserve"> 1,000 t Chinese BOF-route steel, 2026, no data provided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 = 3.187 × 1.10 = 3.5057; FA = 1.370 × 0.975 = 1.33575; L = 2.16995; credit 10/75.28; C = 2.16995 × 65.28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€141.65/t · ≈ €141,654/yr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Same, year 2030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 = 3.187 × 1.30; FA = 1.370 × 0.515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€224.40/t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Verified data:</w:t>
            </w:r>
            <w:r>
              <w:rPr>
                <w:b w:val="0"/>
                <w:i w:val="0"/>
                <w:sz w:val="19"/>
              </w:rPr>
              <w:t xml:space="preserve"> same shipment, verified 2.0 tCO₂e/t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L = 2.0 − 1.33575 = 0.66425; C = 0.66425 × 65.28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€43.36/t — the data-pack saving vs default: ≈ €98/t</w:t>
            </w:r>
          </w:p>
        </w:tc>
      </w:tr>
    </w:tbl>
    <w:p/>
    <w:p>
      <w:pPr>
        <w:pStyle w:val="Heading1"/>
      </w:pPr>
      <w:r>
        <w:rPr>
          <w:b w:val="0"/>
          <w:i w:val="0"/>
          <w:color w:val="1A5C38"/>
          <w:sz w:val="26"/>
        </w:rPr>
        <w:t>5. Known limitations (displayed or documented)</w:t>
      </w:r>
    </w:p>
    <w:p>
      <w:pPr>
        <w:pStyle w:val="ListBullet"/>
      </w:pPr>
      <w:r>
        <w:rPr>
          <w:b w:val="0"/>
          <w:i w:val="0"/>
        </w:rPr>
        <w:t>Product granularity: one representative CN code per bucket (HRC for steel, unwrought for aluminium, grey Portland for cement, 3102 10 19 for urea). Other CN codes in the same category can differ; the full parsed Annex I (12,949 rows) is retained for future per-CN lookup.</w:t>
      </w:r>
    </w:p>
    <w:p>
      <w:pPr>
        <w:pStyle w:val="ListBullet"/>
      </w:pPr>
      <w:r>
        <w:rPr>
          <w:b w:val="0"/>
          <w:i w:val="0"/>
        </w:rPr>
        <w:t>Precursor cascades and Annex IV (precursors of unknown origin) are not modelled — that is the verified-data path by design.</w:t>
      </w:r>
    </w:p>
    <w:p>
      <w:pPr>
        <w:pStyle w:val="ListBullet"/>
      </w:pPr>
      <w:r>
        <w:rPr>
          <w:b w:val="0"/>
          <w:i w:val="0"/>
        </w:rPr>
        <w:t>Certificate price held constant in the projection (±€20 band shown); real ETS prices will move.</w:t>
      </w:r>
    </w:p>
    <w:p>
      <w:pPr>
        <w:pStyle w:val="ListBullet"/>
      </w:pPr>
      <w:r>
        <w:rPr>
          <w:b w:val="0"/>
          <w:i w:val="0"/>
        </w:rPr>
        <w:t>Art. 9 headline prices are approximations unless the user enters the effectively-paid price.</w:t>
      </w:r>
    </w:p>
    <w:p>
      <w:pPr>
        <w:ind w:left="283"/>
        <w:jc w:val="left"/>
      </w:pPr>
      <w:r>
        <w:rPr>
          <w:b/>
          <w:i w:val="0"/>
          <w:color w:val="8A5A00"/>
          <w:sz w:val="20"/>
        </w:rPr>
        <w:t>Regulatory watch:</w:t>
      </w:r>
      <w:r>
        <w:rPr>
          <w:b w:val="0"/>
          <w:i w:val="0"/>
          <w:color w:val="8A5A00"/>
          <w:sz w:val="20"/>
        </w:rPr>
        <w:t xml:space="preserve"> (1) IR 2025/2620 recital 10 — the 2026 benchmarks are based on </w:t>
      </w:r>
      <w:r>
        <w:rPr>
          <w:b w:val="0"/>
          <w:i/>
          <w:color w:val="8A5A00"/>
          <w:sz w:val="20"/>
        </w:rPr>
        <w:t>estimated</w:t>
      </w:r>
      <w:r>
        <w:rPr>
          <w:b w:val="0"/>
          <w:i w:val="0"/>
          <w:color w:val="8A5A00"/>
          <w:sz w:val="20"/>
        </w:rPr>
        <w:t xml:space="preserve"> ETS 2026–2030 benchmarks and will be reviewed once the final ETS benchmarks are published; updated values would apply to imports from 1 Jan 2027. (2) The July 2026 ETS-review proposal would stretch free allocation to 2037/38; the projection follows current law and is footnoted accordingly on the page.</w:t>
      </w:r>
    </w:p>
    <w:p>
      <w:pPr>
        <w:pStyle w:val="Heading1"/>
      </w:pPr>
      <w:r>
        <w:rPr>
          <w:b w:val="0"/>
          <w:i w:val="0"/>
          <w:color w:val="1A5C38"/>
          <w:sz w:val="26"/>
        </w:rPr>
        <w:t>6. Verification checklist for the reviewing member (v3.0)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Item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color w:val="1A5C38"/>
                <w:sz w:val="19"/>
              </w:rPr>
              <w:t>Status / suggested check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V1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Formula matches Reg. (EU) 2023/956 mechanics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Open — legal review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V2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Benchmarks vs IR 2025/2620 Annex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Resolved</w:t>
            </w:r>
            <w:r>
              <w:rPr>
                <w:b w:val="0"/>
                <w:i w:val="0"/>
                <w:sz w:val="19"/>
              </w:rPr>
              <w:t xml:space="preserve"> — extracted from the OJ text; spot-check invited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V3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Hydrogen benchmark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Resolved</w:t>
            </w:r>
            <w:r>
              <w:rPr>
                <w:b w:val="0"/>
                <w:i w:val="0"/>
                <w:sz w:val="19"/>
              </w:rPr>
              <w:t xml:space="preserve"> — 5.089 per Annex (was 6.84 ETS-derived)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V4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Fertiliser representativeness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Resolved</w:t>
            </w:r>
            <w:r>
              <w:rPr>
                <w:b w:val="0"/>
                <w:i w:val="0"/>
                <w:sz w:val="19"/>
              </w:rPr>
              <w:t xml:space="preserve"> — ammonia and urea are now separate buckets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V5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Country default values vs corrected Annex I (IR 2026/1740)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New</w:t>
            </w:r>
            <w:r>
              <w:rPr>
                <w:b w:val="0"/>
                <w:i w:val="0"/>
                <w:sz w:val="19"/>
              </w:rPr>
              <w:t xml:space="preserve"> — table in §3.3 extracted from the OJ text; spot-check e.g. China 7208 = 3.187 and the mark-up wording in the Annex introduction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V6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Origin carbon prices (headline table)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Open — ICAP/World Bank cross-check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V7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Certificate price €75.28 + update cadence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Resolved — Commission price page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V8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CBAM factor schedule</w:t>
            </w:r>
          </w:p>
        </w:tc>
        <w:tc>
          <w:tcPr>
            <w:tcW w:type="dxa" w:w="3249"/>
          </w:tcPr>
          <w:p>
            <w:r>
              <w:rPr>
                <w:b/>
                <w:i w:val="0"/>
                <w:sz w:val="19"/>
              </w:rPr>
              <w:t>Resolved</w:t>
            </w:r>
            <w:r>
              <w:rPr>
                <w:b w:val="0"/>
                <w:i w:val="0"/>
                <w:sz w:val="19"/>
              </w:rPr>
              <w:t xml:space="preserve"> — Dir. 2003/87/EC Art. 10a(1a) verbatim</w:t>
            </w:r>
          </w:p>
        </w:tc>
      </w:tr>
    </w:tbl>
    <w:p/>
    <w:p>
      <w:pPr>
        <w:pStyle w:val="Heading1"/>
      </w:pPr>
      <w:r>
        <w:rPr>
          <w:b w:val="0"/>
          <w:i w:val="0"/>
          <w:color w:val="1A5C38"/>
          <w:sz w:val="26"/>
        </w:rPr>
        <w:t>7. Maintenance rules</w:t>
      </w:r>
    </w:p>
    <w:p>
      <w:pPr>
        <w:pStyle w:val="ListBullet"/>
      </w:pPr>
      <w:r>
        <w:rPr>
          <w:b w:val="0"/>
          <w:i w:val="0"/>
        </w:rPr>
        <w:t>Certificate price: update on each Commission publication (quarterly 2026, weekly 2027+); the page labels the vintage.</w:t>
      </w:r>
    </w:p>
    <w:p>
      <w:pPr>
        <w:pStyle w:val="ListBullet"/>
      </w:pPr>
      <w:r>
        <w:rPr>
          <w:b w:val="0"/>
          <w:i w:val="0"/>
        </w:rPr>
        <w:t>Benchmarks: re-check when the Commission publishes final ETS benchmarks (expected before 2027 imports; recital 10).</w:t>
      </w:r>
    </w:p>
    <w:p>
      <w:pPr>
        <w:pStyle w:val="ListBullet"/>
      </w:pPr>
      <w:r>
        <w:rPr>
          <w:b w:val="0"/>
          <w:i w:val="0"/>
        </w:rPr>
        <w:t>Default values: re-extract on any further correction of IR 2025/2621 (subscribe to OJ alerts for the CBAM implementing acts).</w:t>
      </w:r>
    </w:p>
    <w:p>
      <w:pPr>
        <w:pStyle w:val="ListBullet"/>
      </w:pPr>
      <w:r>
        <w:rPr>
          <w:b w:val="0"/>
          <w:i w:val="0"/>
        </w:rPr>
        <w:t>All constants live in one data module (v2-cbam-data.js) with a review date shown on the page; every change requires a source and a green regression run (worked examples above are pinned).</w:t>
      </w:r>
    </w:p>
    <w:p>
      <w:pPr>
        <w:pStyle w:val="Heading1"/>
      </w:pPr>
      <w:r>
        <w:rPr>
          <w:b w:val="0"/>
          <w:i w:val="0"/>
          <w:color w:val="1A5C38"/>
          <w:sz w:val="26"/>
        </w:rPr>
        <w:t>Annex: primary sources</w:t>
      </w:r>
    </w:p>
    <w:p>
      <w:pPr>
        <w:pStyle w:val="ListBullet"/>
      </w:pPr>
      <w:r>
        <w:rPr>
          <w:b w:val="0"/>
          <w:i w:val="0"/>
        </w:rPr>
        <w:t>IR (EU) 2026/1740 — corrected default values (Annex I &amp; IV): eur-lex.europa.eu/eli/reg_impl/2026/1740/oj/eng</w:t>
      </w:r>
    </w:p>
    <w:p>
      <w:pPr>
        <w:pStyle w:val="ListBullet"/>
      </w:pPr>
      <w:r>
        <w:rPr>
          <w:b w:val="0"/>
          <w:i w:val="0"/>
        </w:rPr>
        <w:t>IR (EU) 2025/2620 — CBAM benchmarks: eur-lex.europa.eu/legal-content/EN/TXT/HTML/?uri=OJ:L_202502620</w:t>
      </w:r>
    </w:p>
    <w:p>
      <w:pPr>
        <w:pStyle w:val="ListBullet"/>
      </w:pPr>
      <w:r>
        <w:rPr>
          <w:b w:val="0"/>
          <w:i w:val="0"/>
        </w:rPr>
        <w:t>IR (EU) 2025/2621 — original default-values act</w:t>
      </w:r>
    </w:p>
    <w:p>
      <w:pPr>
        <w:pStyle w:val="ListBullet"/>
      </w:pPr>
      <w:r>
        <w:rPr>
          <w:b w:val="0"/>
          <w:i w:val="0"/>
        </w:rPr>
        <w:t>Directive 2003/87/EC Art. 10a(1a), consolidated — CBAM factor schedule</w:t>
      </w:r>
    </w:p>
    <w:p>
      <w:pPr>
        <w:pStyle w:val="ListBullet"/>
      </w:pPr>
      <w:r>
        <w:rPr>
          <w:b w:val="0"/>
          <w:i w:val="0"/>
        </w:rPr>
        <w:t>Reg. (EU) 2023/956 (CBAM) and Reg. (EU) 2025/2083 (de-minimis, certificate-sales timing)</w:t>
      </w:r>
    </w:p>
    <w:p>
      <w:pPr>
        <w:pStyle w:val="ListBullet"/>
      </w:pPr>
      <w:r>
        <w:rPr>
          <w:b w:val="0"/>
          <w:i w:val="0"/>
        </w:rPr>
        <w:t>Commission CBAM certificate price page — taxation-customs.ec.europa.eu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