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60"/>
      </w:pPr>
      <w:r>
        <w:rPr>
          <w:rFonts w:ascii="Liberation Sans" w:hAnsi="Liberation Sans" w:cs="Liberation Sans"/>
          <w:b/>
          <w:i w:val="0"/>
          <w:color w:val="000000"/>
          <w:sz w:val="50"/>
        </w:rPr>
        <w:t>FINTRACE Project Details</w:t>
      </w:r>
    </w:p>
    <w:p>
      <w:pPr>
        <w:pStyle w:val="Subtitle"/>
      </w:pPr>
      <w:r>
        <w:rPr>
          <w:rFonts w:ascii="Liberation Sans" w:hAnsi="Liberation Sans" w:cs="Liberation Sans"/>
          <w:b w:val="0"/>
          <w:i w:val="0"/>
          <w:color w:val="000000"/>
          <w:sz w:val="26"/>
        </w:rPr>
        <w:t>Technical project brief and hackathon handoff</w:t>
      </w:r>
    </w:p>
    <w:p>
      <w:pPr>
        <w:spacing w:after="320" w:before="0" w:line="259" w:lineRule="auto"/>
      </w:pPr>
      <w:r>
        <w:rPr>
          <w:rFonts w:ascii="Liberation Sans" w:hAnsi="Liberation Sans" w:cs="Liberation Sans"/>
          <w:b/>
          <w:i w:val="0"/>
          <w:color w:val="637386"/>
          <w:sz w:val="19"/>
        </w:rPr>
        <w:t>Prepared for VENTURE 2026  |  16 September 2026  |  Two member team</w:t>
      </w:r>
    </w:p>
    <w:p>
      <w:pPr>
        <w:spacing w:after="140" w:before="0" w:line="259" w:lineRule="auto"/>
      </w:pPr>
      <w:r>
        <w:rPr>
          <w:rFonts w:ascii="Liberation Sans" w:hAnsi="Liberation Sans" w:cs="Liberation Sans"/>
          <w:b w:val="0"/>
          <w:i w:val="0"/>
          <w:color w:val="243447"/>
          <w:sz w:val="22"/>
        </w:rPr>
        <w:t>FINTRACE is a local-first transaction investigation workspace for analysts with authorised transaction records. It prioritises accounts, traces chronological paths through a bounded graph, shows linked evidence, replays what was visible at a chosen cutoff, and exports the selected case as JSON.</w:t>
      </w:r>
    </w:p>
    <w:p>
      <w:pPr>
        <w:spacing w:after="240" w:before="0" w:line="259" w:lineRule="auto"/>
      </w:pPr>
      <w:r>
        <w:rPr>
          <w:rFonts w:ascii="Liberation Sans" w:hAnsi="Liberation Sans" w:cs="Liberation Sans"/>
          <w:b w:val="0"/>
          <w:i w:val="0"/>
          <w:color w:val="243447"/>
          <w:sz w:val="22"/>
        </w:rPr>
        <w:t>The current repository contains a working React and Vite prototype. The analysis route can run as a stateless Vercel Function, with a local engine fallback. Supabase Auth and Postgres row-level security are prepared for private saves after the project values and SQL schema are configured.</w:t>
      </w:r>
    </w:p>
    <w:p>
      <w:pPr>
        <w:pStyle w:val="Heading1"/>
        <w:keepNext/>
      </w:pPr>
      <w:r>
        <w:t>Project at a glance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08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Area</w:t>
            </w:r>
          </w:p>
        </w:tc>
        <w:tc>
          <w:tcPr>
            <w:tcW w:type="dxa" w:w="799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Current decision</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Product</w:t>
            </w:r>
          </w:p>
        </w:tc>
        <w:tc>
          <w:tcPr>
            <w:tcW w:type="dxa" w:w="799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FINTRACE</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Tagline</w:t>
            </w:r>
          </w:p>
        </w:tc>
        <w:tc>
          <w:tcPr>
            <w:tcW w:type="dxa" w:w="799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Follow the money. Explain the risk.</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Event</w:t>
            </w:r>
          </w:p>
        </w:tc>
        <w:tc>
          <w:tcPr>
            <w:tcW w:type="dxa" w:w="799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VENTURE 2026 on 18 September 2026</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Target user</w:t>
            </w:r>
          </w:p>
        </w:tc>
        <w:tc>
          <w:tcPr>
            <w:tcW w:type="dxa" w:w="799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Fraud analyst with authorised transaction records</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Core pattern</w:t>
            </w:r>
          </w:p>
        </w:tc>
        <w:tc>
          <w:tcPr>
            <w:tcW w:type="dxa" w:w="799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Collection burst followed by rapid outward payments and split reconvergence</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Frontend</w:t>
            </w:r>
          </w:p>
        </w:tc>
        <w:tc>
          <w:tcPr>
            <w:tcW w:type="dxa" w:w="799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React, Vite, TypeScript, CSS Modules</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Analysis</w:t>
            </w:r>
          </w:p>
        </w:tc>
        <w:tc>
          <w:tcPr>
            <w:tcW w:type="dxa" w:w="799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POST /api/analyze with fintrace-graph-v2 and local fallback</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Data</w:t>
            </w:r>
          </w:p>
        </w:tc>
        <w:tc>
          <w:tcPr>
            <w:tcW w:type="dxa" w:w="799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Three synthetic examples, validated CSV intake, and JSON case snapshots</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Authentication</w:t>
            </w:r>
          </w:p>
        </w:tc>
        <w:tc>
          <w:tcPr>
            <w:tcW w:type="dxa" w:w="799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Supabase Auth with profiles and owner-scoped investigation saves</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Current verification</w:t>
            </w:r>
          </w:p>
        </w:tc>
        <w:tc>
          <w:tcPr>
            <w:tcW w:type="dxa" w:w="799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9"/>
              </w:rPr>
              <w:t>25 of 25 accuracy scenarios, 58 tests, typecheck, lint, and Vite build pass</w:t>
            </w:r>
          </w:p>
        </w:tc>
      </w:tr>
    </w:tbl>
    <w:p>
      <w:pPr>
        <w:spacing w:after="40"/>
      </w:pPr>
    </w:p>
    <w:p>
      <w:pPr>
        <w:spacing w:after="0" w:before="0" w:line="259" w:lineRule="auto"/>
      </w:pPr>
      <w:r>
        <w:rPr>
          <w:rFonts w:ascii="Liberation Sans" w:hAnsi="Liberation Sans" w:cs="Liberation Sans"/>
          <w:b w:val="0"/>
          <w:i/>
          <w:color w:val="637386"/>
          <w:sz w:val="20"/>
        </w:rPr>
        <w:t>Implementation status. The local demo is ready. Vercel configuration and the Supabase SQL migration are prepared but require an authorised project setup before real private accounts and saved cases work.</w:t>
      </w:r>
    </w:p>
    <w:p>
      <w:r>
        <w:br w:type="page"/>
      </w:r>
    </w:p>
    <w:p>
      <w:pPr>
        <w:pStyle w:val="Heading1"/>
        <w:keepNext/>
      </w:pPr>
      <w:r>
        <w:t>Product overview</w:t>
      </w:r>
    </w:p>
    <w:p>
      <w:pPr>
        <w:spacing w:after="120" w:before="0" w:line="259" w:lineRule="auto"/>
      </w:pPr>
      <w:r>
        <w:rPr>
          <w:rFonts w:ascii="Liberation Sans" w:hAnsi="Liberation Sans" w:cs="Liberation Sans"/>
          <w:b w:val="0"/>
          <w:i w:val="0"/>
          <w:color w:val="243447"/>
          <w:sz w:val="22"/>
        </w:rPr>
        <w:t>FINTRACE helps an analyst answer a narrower and more defensible question than a generic fraud classifier: what transaction pattern is visible in the supplied records, in what order did it occur, and which rows support the review priority?</w:t>
      </w:r>
    </w:p>
    <w:p>
      <w:pPr>
        <w:pStyle w:val="Heading2"/>
        <w:keepNext/>
      </w:pPr>
      <w:r>
        <w:t>Target user and job</w:t>
      </w:r>
    </w:p>
    <w:p>
      <w:pPr>
        <w:spacing w:after="120" w:before="0" w:line="259" w:lineRule="auto"/>
      </w:pPr>
      <w:r>
        <w:rPr>
          <w:rFonts w:ascii="Liberation Sans" w:hAnsi="Liberation Sans" w:cs="Liberation Sans"/>
          <w:b w:val="0"/>
          <w:i w:val="0"/>
          <w:color w:val="243447"/>
          <w:sz w:val="22"/>
        </w:rPr>
        <w:t>The intended user is a fraud analyst or investigator working with authorised transaction records. The analyst needs to move from a queue entry to a focal account, inspect connected transfers, rewind the observation time, and export a snapshot that another reviewer can understand.</w:t>
      </w:r>
    </w:p>
    <w:p>
      <w:pPr>
        <w:pStyle w:val="Heading2"/>
        <w:keepNext/>
      </w:pPr>
      <w:r>
        <w:t>Scope boundary</w:t>
      </w:r>
    </w:p>
    <w:p>
      <w:pPr>
        <w:spacing w:after="120" w:before="0" w:line="259" w:lineRule="auto"/>
      </w:pPr>
      <w:r>
        <w:rPr>
          <w:rFonts w:ascii="Liberation Sans" w:hAnsi="Liberation Sans" w:cs="Liberation Sans"/>
          <w:b w:val="0"/>
          <w:i w:val="0"/>
          <w:color w:val="243447"/>
          <w:sz w:val="22"/>
        </w:rPr>
        <w:t>The prototype focuses on one collection-led pattern family. It does not claim to identify every type of fraud, prove criminal intent, identify beneficial ownership, recover money, block an account, or replace a production detection system. The score is a review-priority score, not a calibrated fraud probability.</w:t>
      </w:r>
    </w:p>
    <w:p>
      <w:pPr>
        <w:spacing w:before="160" w:after="0"/>
        <w:jc w:val="center"/>
      </w:pPr>
      <w:r>
        <w:drawing>
          <wp:inline xmlns:a="http://schemas.openxmlformats.org/drawingml/2006/main" xmlns:pic="http://schemas.openxmlformats.org/drawingml/2006/picture">
            <wp:extent cx="6236208" cy="5196840"/>
            <wp:docPr id="1" name="Picture 1" descr="FINTRACE investigation workspace showing the selected A101 account, graph, review score, evidence rows, and timeline controls" title="FINTRACE investigation workspace"/>
            <wp:cNvGraphicFramePr>
              <a:graphicFrameLocks noChangeAspect="1"/>
            </wp:cNvGraphicFramePr>
            <a:graphic>
              <a:graphicData uri="http://schemas.openxmlformats.org/drawingml/2006/picture">
                <pic:pic>
                  <pic:nvPicPr>
                    <pic:cNvPr id="0" name="fintrace-workspace-final.png"/>
                    <pic:cNvPicPr/>
                  </pic:nvPicPr>
                  <pic:blipFill>
                    <a:blip r:embed="rId11"/>
                    <a:stretch>
                      <a:fillRect/>
                    </a:stretch>
                  </pic:blipFill>
                  <pic:spPr>
                    <a:xfrm>
                      <a:off x="0" y="0"/>
                      <a:ext cx="6236208" cy="5196840"/>
                    </a:xfrm>
                    <a:prstGeom prst="rect"/>
                  </pic:spPr>
                </pic:pic>
              </a:graphicData>
            </a:graphic>
          </wp:inline>
        </w:drawing>
      </w:r>
    </w:p>
    <w:p>
      <w:pPr>
        <w:pStyle w:val="Caption"/>
        <w:spacing w:before="60" w:after="180"/>
        <w:jc w:val="center"/>
      </w:pPr>
      <w:r>
        <w:rPr>
          <w:rFonts w:ascii="Liberation Sans" w:hAnsi="Liberation Sans" w:cs="Liberation Sans"/>
          <w:b w:val="0"/>
          <w:i/>
          <w:color w:val="637386"/>
          <w:sz w:val="18"/>
        </w:rPr>
        <w:t>Figure 1. Working FINTRACE investigation workspace for the canonical split and reconverge scenario</w:t>
      </w:r>
    </w:p>
    <w:p>
      <w:pPr>
        <w:pStyle w:val="Heading2"/>
        <w:keepNext/>
      </w:pPr>
      <w:r>
        <w:t>What makes the product useful</w:t>
      </w:r>
    </w:p>
    <w:p>
      <w:pPr>
        <w:pStyle w:val="ListBullet"/>
        <w:spacing w:after="80" w:line="252" w:lineRule="auto"/>
      </w:pPr>
      <w:r>
        <w:rPr>
          <w:rFonts w:ascii="Liberation Sans" w:hAnsi="Liberation Sans" w:cs="Liberation Sans"/>
          <w:b w:val="0"/>
          <w:i w:val="0"/>
          <w:color w:val="243447"/>
          <w:sz w:val="21"/>
        </w:rPr>
        <w:t>It keeps the account queue, graph, evidence panel, replay cutoff, and export on one analysis snapshot.</w:t>
      </w:r>
    </w:p>
    <w:p>
      <w:pPr>
        <w:pStyle w:val="ListBullet"/>
        <w:spacing w:after="80" w:line="252" w:lineRule="auto"/>
      </w:pPr>
      <w:r>
        <w:rPr>
          <w:rFonts w:ascii="Liberation Sans" w:hAnsi="Liberation Sans" w:cs="Liberation Sans"/>
          <w:b w:val="0"/>
          <w:i w:val="0"/>
          <w:color w:val="243447"/>
          <w:sz w:val="21"/>
        </w:rPr>
        <w:t>It links each signal to transaction IDs, so the reviewer can inspect the records behind the points.</w:t>
      </w:r>
    </w:p>
    <w:p>
      <w:pPr>
        <w:pStyle w:val="ListBullet"/>
        <w:spacing w:after="80" w:line="252" w:lineRule="auto"/>
      </w:pPr>
      <w:r>
        <w:rPr>
          <w:rFonts w:ascii="Liberation Sans" w:hAnsi="Liberation Sans" w:cs="Liberation Sans"/>
          <w:b w:val="0"/>
          <w:i w:val="0"/>
          <w:color w:val="243447"/>
          <w:sz w:val="21"/>
        </w:rPr>
        <w:t>It shows how a case changes as new timestamps become visible instead of assuming the final dataset was known from the start.</w:t>
      </w:r>
    </w:p>
    <w:p>
      <w:pPr>
        <w:pStyle w:val="ListBullet"/>
        <w:spacing w:after="80" w:line="252" w:lineRule="auto"/>
      </w:pPr>
      <w:r>
        <w:rPr>
          <w:rFonts w:ascii="Liberation Sans" w:hAnsi="Liberation Sans" w:cs="Liberation Sans"/>
          <w:b w:val="0"/>
          <w:i w:val="0"/>
          <w:color w:val="243447"/>
          <w:sz w:val="21"/>
        </w:rPr>
        <w:t>It displays graph context such as chronological paths, bottleneck values, fan-out, layering, circular re-entry, and network velocity.</w:t>
      </w:r>
    </w:p>
    <w:p>
      <w:pPr>
        <w:pStyle w:val="Heading1"/>
        <w:keepNext/>
      </w:pPr>
      <w:r>
        <w:t>User journey</w:t>
      </w:r>
    </w:p>
    <w:p>
      <w:pPr>
        <w:spacing w:after="80" w:line="252" w:lineRule="auto"/>
        <w:ind w:left="403" w:hanging="403"/>
      </w:pPr>
      <w:r>
        <w:rPr>
          <w:rFonts w:ascii="Liberation Sans" w:hAnsi="Liberation Sans" w:cs="Liberation Sans"/>
          <w:b w:val="0"/>
          <w:i w:val="0"/>
          <w:color w:val="243447"/>
          <w:sz w:val="21"/>
        </w:rPr>
        <w:t xml:space="preserve">1.  </w:t>
      </w:r>
      <w:r>
        <w:rPr>
          <w:rFonts w:ascii="Liberation Sans" w:hAnsi="Liberation Sans" w:cs="Liberation Sans"/>
          <w:b w:val="0"/>
          <w:i w:val="0"/>
          <w:color w:val="243447"/>
          <w:sz w:val="21"/>
        </w:rPr>
        <w:t>Load the Split and reconverge example or import a compatible CSV file.</w:t>
      </w:r>
    </w:p>
    <w:p>
      <w:pPr>
        <w:spacing w:after="80" w:line="252" w:lineRule="auto"/>
        <w:ind w:left="403" w:hanging="403"/>
      </w:pPr>
      <w:r>
        <w:rPr>
          <w:rFonts w:ascii="Liberation Sans" w:hAnsi="Liberation Sans" w:cs="Liberation Sans"/>
          <w:b w:val="0"/>
          <w:i w:val="0"/>
          <w:color w:val="243447"/>
          <w:sz w:val="21"/>
        </w:rPr>
        <w:t xml:space="preserve">2.  </w:t>
      </w:r>
      <w:r>
        <w:rPr>
          <w:rFonts w:ascii="Liberation Sans" w:hAnsi="Liberation Sans" w:cs="Liberation Sans"/>
          <w:b w:val="0"/>
          <w:i w:val="0"/>
          <w:color w:val="243447"/>
          <w:sz w:val="21"/>
        </w:rPr>
        <w:t>Validate and normalize the records before analysis. Invalid imports cannot replace the active dataset.</w:t>
      </w:r>
    </w:p>
    <w:p>
      <w:pPr>
        <w:spacing w:after="80" w:line="252" w:lineRule="auto"/>
        <w:ind w:left="403" w:hanging="403"/>
      </w:pPr>
      <w:r>
        <w:rPr>
          <w:rFonts w:ascii="Liberation Sans" w:hAnsi="Liberation Sans" w:cs="Liberation Sans"/>
          <w:b w:val="0"/>
          <w:i w:val="0"/>
          <w:color w:val="243447"/>
          <w:sz w:val="21"/>
        </w:rPr>
        <w:t xml:space="preserve">3.  </w:t>
      </w:r>
      <w:r>
        <w:rPr>
          <w:rFonts w:ascii="Liberation Sans" w:hAnsi="Liberation Sans" w:cs="Liberation Sans"/>
          <w:b w:val="0"/>
          <w:i w:val="0"/>
          <w:color w:val="243447"/>
          <w:sz w:val="21"/>
        </w:rPr>
        <w:t>Review the account queue, which keeps one representative episode per focal account and sorts by priority.</w:t>
      </w:r>
    </w:p>
    <w:p>
      <w:pPr>
        <w:spacing w:after="80" w:line="252" w:lineRule="auto"/>
        <w:ind w:left="403" w:hanging="403"/>
      </w:pPr>
      <w:r>
        <w:rPr>
          <w:rFonts w:ascii="Liberation Sans" w:hAnsi="Liberation Sans" w:cs="Liberation Sans"/>
          <w:b w:val="0"/>
          <w:i w:val="0"/>
          <w:color w:val="243447"/>
          <w:sz w:val="21"/>
        </w:rPr>
        <w:t xml:space="preserve">4.  </w:t>
      </w:r>
      <w:r>
        <w:rPr>
          <w:rFonts w:ascii="Liberation Sans" w:hAnsi="Liberation Sans" w:cs="Liberation Sans"/>
          <w:b w:val="0"/>
          <w:i w:val="0"/>
          <w:color w:val="243447"/>
          <w:sz w:val="21"/>
        </w:rPr>
        <w:t>Select an account and inspect the same case in the graph, evidence panel, and transaction table.</w:t>
      </w:r>
    </w:p>
    <w:p>
      <w:pPr>
        <w:spacing w:after="80" w:line="252" w:lineRule="auto"/>
        <w:ind w:left="403" w:hanging="403"/>
      </w:pPr>
      <w:r>
        <w:rPr>
          <w:rFonts w:ascii="Liberation Sans" w:hAnsi="Liberation Sans" w:cs="Liberation Sans"/>
          <w:b w:val="0"/>
          <w:i w:val="0"/>
          <w:color w:val="243447"/>
          <w:sz w:val="21"/>
        </w:rPr>
        <w:t xml:space="preserve">5.  </w:t>
      </w:r>
      <w:r>
        <w:rPr>
          <w:rFonts w:ascii="Liberation Sans" w:hAnsi="Liberation Sans" w:cs="Liberation Sans"/>
          <w:b w:val="0"/>
          <w:i w:val="0"/>
          <w:color w:val="243447"/>
          <w:sz w:val="21"/>
        </w:rPr>
        <w:t>Use Reset, Previous, Next, or the timestamp slider to replay only the records visible at a chosen cutoff.</w:t>
      </w:r>
    </w:p>
    <w:p>
      <w:pPr>
        <w:spacing w:after="80" w:line="252" w:lineRule="auto"/>
        <w:ind w:left="403" w:hanging="403"/>
      </w:pPr>
      <w:r>
        <w:rPr>
          <w:rFonts w:ascii="Liberation Sans" w:hAnsi="Liberation Sans" w:cs="Liberation Sans"/>
          <w:b w:val="0"/>
          <w:i w:val="0"/>
          <w:color w:val="243447"/>
          <w:sz w:val="21"/>
        </w:rPr>
        <w:t xml:space="preserve">6.  </w:t>
      </w:r>
      <w:r>
        <w:rPr>
          <w:rFonts w:ascii="Liberation Sans" w:hAnsi="Liberation Sans" w:cs="Liberation Sans"/>
          <w:b w:val="0"/>
          <w:i w:val="0"/>
          <w:color w:val="243447"/>
          <w:sz w:val="21"/>
        </w:rPr>
        <w:t>Add a session note and export the selected investigation snapshot as versioned JSON. Authenticated users can save a private case after Supabase configuration.</w:t>
      </w:r>
    </w:p>
    <w:p>
      <w:pPr>
        <w:pStyle w:val="Heading1"/>
        <w:keepNext/>
      </w:pPr>
      <w:r>
        <w:t>Working screens and interactions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Surface</w:t>
            </w:r>
          </w:p>
        </w:tc>
        <w:tc>
          <w:tcPr>
            <w:tcW w:type="dxa" w:w="381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Purpose</w:t>
            </w:r>
          </w:p>
        </w:tc>
        <w:tc>
          <w:tcPr>
            <w:tcW w:type="dxa" w:w="4320"/>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Important interaction</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Empty state</w:t>
            </w:r>
          </w:p>
        </w:tc>
        <w:tc>
          <w:tcPr>
            <w:tcW w:type="dxa" w:w="38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Start with no fabricated data</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Load demo, import CSV, or download the CSV template</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Example picker</w:t>
            </w:r>
          </w:p>
        </w:tc>
        <w:tc>
          <w:tcPr>
            <w:tcW w:type="dxa" w:w="38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Replace the active dataset with one of three synthetic scenarios</w:t>
            </w:r>
          </w:p>
        </w:tc>
        <w:tc>
          <w:tcPr>
            <w:tcW w:type="dxa" w:w="432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Split and reconverge, Merchant collection, or Ambiguous settlement</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Account queue</w:t>
            </w:r>
          </w:p>
        </w:tc>
        <w:tc>
          <w:tcPr>
            <w:tcW w:type="dxa" w:w="38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Prioritise one representative case per focal account</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Search by account ID and filter by Monitor, Review, or High priority</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Transaction graph</w:t>
            </w:r>
          </w:p>
        </w:tc>
        <w:tc>
          <w:tcPr>
            <w:tcW w:type="dxa" w:w="38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Show observed account-to-account relationships</w:t>
            </w:r>
          </w:p>
        </w:tc>
        <w:tc>
          <w:tcPr>
            <w:tcW w:type="dxa" w:w="432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Select a node or edge to inspect linked transfers without changing the focal case</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Evidence panel</w:t>
            </w:r>
          </w:p>
        </w:tc>
        <w:tc>
          <w:tcPr>
            <w:tcW w:type="dxa" w:w="38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Explain points and show supporting records</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Expand a signal, open evidence rows, add a contextual session note</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Replay controls</w:t>
            </w:r>
          </w:p>
        </w:tc>
        <w:tc>
          <w:tcPr>
            <w:tcW w:type="dxa" w:w="38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Recompute the snapshot at a timestamp cutoff</w:t>
            </w:r>
          </w:p>
        </w:tc>
        <w:tc>
          <w:tcPr>
            <w:tcW w:type="dxa" w:w="432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Reset, Previous, Next, and labelled slider</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Export and save</w:t>
            </w:r>
          </w:p>
        </w:tc>
        <w:tc>
          <w:tcPr>
            <w:tcW w:type="dxa" w:w="38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Create a portable handoff</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Download JSON locally or save an authenticated private investigation</w:t>
            </w:r>
          </w:p>
        </w:tc>
      </w:tr>
    </w:tbl>
    <w:p>
      <w:pPr>
        <w:spacing w:after="40"/>
      </w:pPr>
    </w:p>
    <w:p>
      <w:pPr>
        <w:pStyle w:val="Heading2"/>
        <w:keepNext/>
      </w:pPr>
      <w:r>
        <w:t>Canonical demo path</w:t>
      </w:r>
    </w:p>
    <w:p>
      <w:pPr>
        <w:spacing w:after="120" w:before="0" w:line="259" w:lineRule="auto"/>
      </w:pPr>
      <w:r>
        <w:rPr>
          <w:rFonts w:ascii="Liberation Sans" w:hAnsi="Liberation Sans" w:cs="Liberation Sans"/>
          <w:b w:val="0"/>
          <w:i w:val="0"/>
          <w:color w:val="243447"/>
          <w:sz w:val="22"/>
        </w:rPr>
        <w:t>Load Split and reconverge, select A101, expand the evidence rows, press Reset, and advance with Next. The focal case moves from 30 points after collection to 70 points after rapid forwarding and 100 points after both branches reach A301. The graph, evidence, queue, and export all use the same cutoff.</w:t>
      </w:r>
    </w:p>
    <w:p>
      <w:r>
        <w:br w:type="page"/>
      </w:r>
    </w:p>
    <w:p>
      <w:pPr>
        <w:pStyle w:val="Heading1"/>
        <w:keepNext/>
      </w:pPr>
      <w:r>
        <w:t>System architecture</w:t>
      </w:r>
    </w:p>
    <w:p>
      <w:pPr>
        <w:spacing w:after="120" w:before="0" w:line="259" w:lineRule="auto"/>
      </w:pPr>
      <w:r>
        <w:rPr>
          <w:rFonts w:ascii="Liberation Sans" w:hAnsi="Liberation Sans" w:cs="Liberation Sans"/>
          <w:b w:val="0"/>
          <w:i w:val="0"/>
          <w:color w:val="243447"/>
          <w:sz w:val="22"/>
        </w:rPr>
        <w:t>The application separates input validation, analysis logic, and presentation. This keeps the frontend from silently becoming a second detector and makes the local and server-side paths share the same normalized contract.</w:t>
      </w:r>
    </w:p>
    <w:p>
      <w:pPr>
        <w:spacing w:before="60" w:after="160" w:line="240" w:lineRule="auto"/>
        <w:ind w:left="317" w:right="216"/>
        <w:shd w:fill="F3F5F7" w:val="clear"/>
      </w:pPr>
      <w:r>
        <w:rPr>
          <w:rFonts w:ascii="Liberation Mono" w:hAnsi="Liberation Mono" w:cs="Liberation Mono"/>
          <w:b w:val="0"/>
          <w:i w:val="0"/>
          <w:color w:val="243447"/>
          <w:sz w:val="18"/>
        </w:rPr>
        <w:t>CSV or demo data</w:t>
      </w:r>
      <w:r>
        <w:br/>
      </w:r>
      <w:r>
        <w:rPr>
          <w:rFonts w:ascii="Liberation Mono" w:hAnsi="Liberation Mono" w:cs="Liberation Mono"/>
          <w:b w:val="0"/>
          <w:i w:val="0"/>
          <w:color w:val="243447"/>
          <w:sz w:val="18"/>
        </w:rPr>
        <w:t xml:space="preserve">        |</w:t>
      </w:r>
      <w:r>
        <w:br/>
      </w:r>
      <w:r>
        <w:rPr>
          <w:rFonts w:ascii="Liberation Mono" w:hAnsi="Liberation Mono" w:cs="Liberation Mono"/>
          <w:b w:val="0"/>
          <w:i w:val="0"/>
          <w:color w:val="243447"/>
          <w:sz w:val="18"/>
        </w:rPr>
        <w:t>parse and validate</w:t>
      </w:r>
      <w:r>
        <w:br/>
      </w:r>
      <w:r>
        <w:rPr>
          <w:rFonts w:ascii="Liberation Mono" w:hAnsi="Liberation Mono" w:cs="Liberation Mono"/>
          <w:b w:val="0"/>
          <w:i w:val="0"/>
          <w:color w:val="243447"/>
          <w:sz w:val="18"/>
        </w:rPr>
        <w:t xml:space="preserve">        |</w:t>
      </w:r>
      <w:r>
        <w:br/>
      </w:r>
      <w:r>
        <w:rPr>
          <w:rFonts w:ascii="Liberation Mono" w:hAnsi="Liberation Mono" w:cs="Liberation Mono"/>
          <w:b w:val="0"/>
          <w:i w:val="0"/>
          <w:color w:val="243447"/>
          <w:sz w:val="18"/>
        </w:rPr>
        <w:t>normalized INR transactions</w:t>
      </w:r>
      <w:r>
        <w:br/>
      </w:r>
      <w:r>
        <w:rPr>
          <w:rFonts w:ascii="Liberation Mono" w:hAnsi="Liberation Mono" w:cs="Liberation Mono"/>
          <w:b w:val="0"/>
          <w:i w:val="0"/>
          <w:color w:val="243447"/>
          <w:sz w:val="18"/>
        </w:rPr>
        <w:t xml:space="preserve">        |</w:t>
      </w:r>
      <w:r>
        <w:br/>
      </w:r>
      <w:r>
        <w:rPr>
          <w:rFonts w:ascii="Liberation Mono" w:hAnsi="Liberation Mono" w:cs="Liberation Mono"/>
          <w:b w:val="0"/>
          <w:i w:val="0"/>
          <w:color w:val="243447"/>
          <w:sz w:val="18"/>
        </w:rPr>
        <w:t>cutoff filter</w:t>
      </w:r>
      <w:r>
        <w:br/>
      </w:r>
      <w:r>
        <w:rPr>
          <w:rFonts w:ascii="Liberation Mono" w:hAnsi="Liberation Mono" w:cs="Liberation Mono"/>
          <w:b w:val="0"/>
          <w:i w:val="0"/>
          <w:color w:val="243447"/>
          <w:sz w:val="18"/>
        </w:rPr>
        <w:t xml:space="preserve">        |</w:t>
      </w:r>
      <w:r>
        <w:br/>
      </w:r>
      <w:r>
        <w:rPr>
          <w:rFonts w:ascii="Liberation Mono" w:hAnsi="Liberation Mono" w:cs="Liberation Mono"/>
          <w:b w:val="0"/>
          <w:i w:val="0"/>
          <w:color w:val="243447"/>
          <w:sz w:val="18"/>
        </w:rPr>
        <w:t>deterministic rules plus graph intelligence</w:t>
      </w:r>
      <w:r>
        <w:br/>
      </w:r>
      <w:r>
        <w:rPr>
          <w:rFonts w:ascii="Liberation Mono" w:hAnsi="Liberation Mono" w:cs="Liberation Mono"/>
          <w:b w:val="0"/>
          <w:i w:val="0"/>
          <w:color w:val="243447"/>
          <w:sz w:val="18"/>
        </w:rPr>
        <w:t xml:space="preserve">        |</w:t>
      </w:r>
      <w:r>
        <w:br/>
      </w:r>
      <w:r>
        <w:rPr>
          <w:rFonts w:ascii="Liberation Mono" w:hAnsi="Liberation Mono" w:cs="Liberation Mono"/>
          <w:b w:val="0"/>
          <w:i w:val="0"/>
          <w:color w:val="243447"/>
          <w:sz w:val="18"/>
        </w:rPr>
        <w:t>analysis snapshot</w:t>
      </w:r>
      <w:r>
        <w:br/>
      </w:r>
      <w:r>
        <w:rPr>
          <w:rFonts w:ascii="Liberation Mono" w:hAnsi="Liberation Mono" w:cs="Liberation Mono"/>
          <w:b w:val="0"/>
          <w:i w:val="0"/>
          <w:color w:val="243447"/>
          <w:sz w:val="18"/>
        </w:rPr>
        <w:t xml:space="preserve">        |-- account queue</w:t>
      </w:r>
      <w:r>
        <w:br/>
      </w:r>
      <w:r>
        <w:rPr>
          <w:rFonts w:ascii="Liberation Mono" w:hAnsi="Liberation Mono" w:cs="Liberation Mono"/>
          <w:b w:val="0"/>
          <w:i w:val="0"/>
          <w:color w:val="243447"/>
          <w:sz w:val="18"/>
        </w:rPr>
        <w:t xml:space="preserve">        |-- investigation graph</w:t>
      </w:r>
      <w:r>
        <w:br/>
      </w:r>
      <w:r>
        <w:rPr>
          <w:rFonts w:ascii="Liberation Mono" w:hAnsi="Liberation Mono" w:cs="Liberation Mono"/>
          <w:b w:val="0"/>
          <w:i w:val="0"/>
          <w:color w:val="243447"/>
          <w:sz w:val="18"/>
        </w:rPr>
        <w:t xml:space="preserve">        |-- evidence and notes</w:t>
      </w:r>
      <w:r>
        <w:br/>
      </w:r>
      <w:r>
        <w:rPr>
          <w:rFonts w:ascii="Liberation Mono" w:hAnsi="Liberation Mono" w:cs="Liberation Mono"/>
          <w:b w:val="0"/>
          <w:i w:val="0"/>
          <w:color w:val="243447"/>
          <w:sz w:val="18"/>
        </w:rPr>
        <w:t xml:space="preserve">        |-- replay controls</w:t>
      </w:r>
      <w:r>
        <w:br/>
      </w:r>
      <w:r>
        <w:rPr>
          <w:rFonts w:ascii="Liberation Mono" w:hAnsi="Liberation Mono" w:cs="Liberation Mono"/>
          <w:b w:val="0"/>
          <w:i w:val="0"/>
          <w:color w:val="243447"/>
          <w:sz w:val="18"/>
        </w:rPr>
        <w:t xml:space="preserve">        |-- JSON export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72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Layer</w:t>
            </w:r>
          </w:p>
        </w:tc>
        <w:tc>
          <w:tcPr>
            <w:tcW w:type="dxa" w:w="352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Repository location</w:t>
            </w:r>
          </w:p>
        </w:tc>
        <w:tc>
          <w:tcPr>
            <w:tcW w:type="dxa" w:w="482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Responsibility</w:t>
            </w:r>
          </w:p>
        </w:tc>
      </w:tr>
      <w:tr>
        <w:trPr>
          <w:cantSplit/>
        </w:trPr>
        <w:tc>
          <w:tcPr>
            <w:tcW w:type="dxa" w:w="17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UI</w:t>
            </w:r>
          </w:p>
        </w:tc>
        <w:tc>
          <w:tcPr>
            <w:tcW w:type="dxa" w:w="35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src/components, src/pages, src/App.tsx</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Analyst surfaces, accessible controls, and layout</w:t>
            </w:r>
          </w:p>
        </w:tc>
      </w:tr>
      <w:tr>
        <w:trPr>
          <w:cantSplit/>
        </w:trPr>
        <w:tc>
          <w:tcPr>
            <w:tcW w:type="dxa" w:w="17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State</w:t>
            </w:r>
          </w:p>
        </w:tc>
        <w:tc>
          <w:tcPr>
            <w:tcW w:type="dxa" w:w="35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src/hooks/useInvestigation.ts</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Dataset replacement, selection, replay, notes, and snapshot orchestration</w:t>
            </w:r>
          </w:p>
        </w:tc>
      </w:tr>
      <w:tr>
        <w:trPr>
          <w:cantSplit/>
        </w:trPr>
        <w:tc>
          <w:tcPr>
            <w:tcW w:type="dxa" w:w="17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Validation</w:t>
            </w:r>
          </w:p>
        </w:tc>
        <w:tc>
          <w:tcPr>
            <w:tcW w:type="dxa" w:w="35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src/engine/validate.ts, src/engine/money.ts</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CSV parsing, field checks, exact paise normalization, limits, and warnings</w:t>
            </w:r>
          </w:p>
        </w:tc>
      </w:tr>
      <w:tr>
        <w:trPr>
          <w:cantSplit/>
        </w:trPr>
        <w:tc>
          <w:tcPr>
            <w:tcW w:type="dxa" w:w="17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Core detector</w:t>
            </w:r>
          </w:p>
        </w:tc>
        <w:tc>
          <w:tcPr>
            <w:tcW w:type="dxa" w:w="35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src/engine/analyze.ts, src/config/detector.ts</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Collection, forwarding, reconvergence, scoring, deduplication, and evidence</w:t>
            </w:r>
          </w:p>
        </w:tc>
      </w:tr>
      <w:tr>
        <w:trPr>
          <w:cantSplit/>
        </w:trPr>
        <w:tc>
          <w:tcPr>
            <w:tcW w:type="dxa" w:w="17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Graph intelligence</w:t>
            </w:r>
          </w:p>
        </w:tc>
        <w:tc>
          <w:tcPr>
            <w:tcW w:type="dxa" w:w="35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src/engine/intelligentAnalyze.ts</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Chronological path tracing, bottlenecks, cycles, velocity, fan-out, and layering</w:t>
            </w:r>
          </w:p>
        </w:tc>
      </w:tr>
      <w:tr>
        <w:trPr>
          <w:cantSplit/>
        </w:trPr>
        <w:tc>
          <w:tcPr>
            <w:tcW w:type="dxa" w:w="17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Graph view</w:t>
            </w:r>
          </w:p>
        </w:tc>
        <w:tc>
          <w:tcPr>
            <w:tcW w:type="dxa" w:w="35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src/graph/buildGraphModel.ts</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Cutoff-aware nodes, one edge per transaction, deterministic positions, and display truncation</w:t>
            </w:r>
          </w:p>
        </w:tc>
      </w:tr>
      <w:tr>
        <w:trPr>
          <w:cantSplit/>
        </w:trPr>
        <w:tc>
          <w:tcPr>
            <w:tcW w:type="dxa" w:w="17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API</w:t>
            </w:r>
          </w:p>
        </w:tc>
        <w:tc>
          <w:tcPr>
            <w:tcW w:type="dxa" w:w="352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api/analyze.ts, src/services/analysisService.ts</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Re-validating stateless analysis contract with local fallback</w:t>
            </w:r>
          </w:p>
        </w:tc>
      </w:tr>
      <w:tr>
        <w:trPr>
          <w:cantSplit/>
        </w:trPr>
        <w:tc>
          <w:tcPr>
            <w:tcW w:type="dxa" w:w="17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Persistence</w:t>
            </w:r>
          </w:p>
        </w:tc>
        <w:tc>
          <w:tcPr>
            <w:tcW w:type="dxa" w:w="352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src/auth, src/lib/supabase.ts, src/services/workspaceService.ts, supabase/schema.sql</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Supabase Auth, owner-scoped saved investigations, and SQL policies</w:t>
            </w:r>
          </w:p>
        </w:tc>
      </w:tr>
    </w:tbl>
    <w:p>
      <w:pPr>
        <w:spacing w:after="40"/>
      </w:pPr>
    </w:p>
    <w:p>
      <w:r>
        <w:br w:type="page"/>
      </w:r>
    </w:p>
    <w:p>
      <w:pPr>
        <w:pStyle w:val="Heading1"/>
        <w:keepNext/>
      </w:pPr>
      <w:r>
        <w:t>Detection model</w:t>
      </w:r>
    </w:p>
    <w:p>
      <w:pPr>
        <w:spacing w:after="120" w:before="0" w:line="259" w:lineRule="auto"/>
      </w:pPr>
      <w:r>
        <w:rPr>
          <w:rFonts w:ascii="Liberation Sans" w:hAnsi="Liberation Sans" w:cs="Liberation Sans"/>
          <w:b w:val="0"/>
          <w:i w:val="0"/>
          <w:color w:val="243447"/>
          <w:sz w:val="22"/>
        </w:rPr>
        <w:t>FINTRACE uses deterministic rules for its core score. Each analysis first filters transactions to timestampMs less than or equal to the selected cutoff. It then builds incoming and outgoing indexes from visible records only. Candidate episodes are evaluated per account and deduplicated to one representative episode per focal account.</w:t>
      </w:r>
    </w:p>
    <w:p>
      <w:pPr>
        <w:pStyle w:val="Heading2"/>
        <w:keepNext/>
      </w:pPr>
      <w:r>
        <w:t>Core signals</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194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Signal</w:t>
            </w:r>
          </w:p>
        </w:tc>
        <w:tc>
          <w:tcPr>
            <w:tcW w:type="dxa" w:w="4320"/>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Exact condition</w:t>
            </w:r>
          </w:p>
        </w:tc>
        <w:tc>
          <w:tcPr>
            <w:tcW w:type="dxa" w:w="100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Points</w:t>
            </w:r>
          </w:p>
        </w:tc>
        <w:tc>
          <w:tcPr>
            <w:tcW w:type="dxa" w:w="280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Evidence shown</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Collection burst</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At least 6 distinct senders pay the focal account inside the inclusive 10 minute window ending at an incoming anchor.</w:t>
            </w:r>
          </w:p>
        </w:tc>
        <w:tc>
          <w:tcPr>
            <w:tcW w:type="dxa" w:w="10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+30</w:t>
            </w:r>
          </w:p>
        </w:tc>
        <w:tc>
          <w:tcPr>
            <w:tcW w:type="dxa" w:w="28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Incoming transaction IDs, sender count, window, and observed incoming amount</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Rapid forwarding</w:t>
            </w:r>
          </w:p>
        </w:tc>
        <w:tc>
          <w:tcPr>
            <w:tcW w:type="dxa" w:w="432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After the anchor and within 5 minutes, observed outward volume reaches at least 80 percent of observed collection volume.</w:t>
            </w:r>
          </w:p>
        </w:tc>
        <w:tc>
          <w:tcPr>
            <w:tcW w:type="dxa" w:w="10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+40</w:t>
            </w:r>
          </w:p>
        </w:tc>
        <w:tc>
          <w:tcPr>
            <w:tcW w:type="dxa" w:w="28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Relevant incoming and outgoing IDs, both totals, ratio, and window</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Split and reconverge</w:t>
            </w:r>
          </w:p>
        </w:tc>
        <w:tc>
          <w:tcPr>
            <w:tcW w:type="dxa" w:w="432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Two distinct first-hop recipients each send to one common destination in strict chronological order within the hop window.</w:t>
            </w:r>
          </w:p>
        </w:tc>
        <w:tc>
          <w:tcPr>
            <w:tcW w:type="dxa" w:w="10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+30</w:t>
            </w:r>
          </w:p>
        </w:tc>
        <w:tc>
          <w:tcPr>
            <w:tcW w:type="dxa" w:w="28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Two first-hop IDs, two onward IDs, destination, and timing witness</w:t>
            </w:r>
          </w:p>
        </w:tc>
      </w:tr>
    </w:tbl>
    <w:p>
      <w:pPr>
        <w:spacing w:after="40"/>
      </w:pPr>
    </w:p>
    <w:p>
      <w:pPr>
        <w:pStyle w:val="Heading2"/>
        <w:keepNext/>
      </w:pPr>
      <w:r>
        <w:t>Scoring ladder</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cantSplit/>
        </w:trPr>
        <w:tc>
          <w:tcPr>
            <w:tcW w:type="dxa" w:w="338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Observed signals</w:t>
            </w:r>
          </w:p>
        </w:tc>
        <w:tc>
          <w:tcPr>
            <w:tcW w:type="dxa" w:w="93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Score</w:t>
            </w:r>
          </w:p>
        </w:tc>
        <w:tc>
          <w:tcPr>
            <w:tcW w:type="dxa" w:w="165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Queue label</w:t>
            </w:r>
          </w:p>
        </w:tc>
        <w:tc>
          <w:tcPr>
            <w:tcW w:type="dxa" w:w="410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Interpretation</w:t>
            </w:r>
          </w:p>
        </w:tc>
      </w:tr>
      <w:tr>
        <w:trPr>
          <w:cantSplit/>
        </w:trPr>
        <w:tc>
          <w:tcPr>
            <w:tcW w:type="dxa" w:w="338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Collection only</w:t>
            </w:r>
          </w:p>
        </w:tc>
        <w:tc>
          <w:tcPr>
            <w:tcW w:type="dxa" w:w="93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30</w:t>
            </w:r>
          </w:p>
        </w:tc>
        <w:tc>
          <w:tcPr>
            <w:tcW w:type="dxa" w:w="165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Monitor</w:t>
            </w:r>
          </w:p>
        </w:tc>
        <w:tc>
          <w:tcPr>
            <w:tcW w:type="dxa" w:w="41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 collection burst is visible. No qualifying rapid forwarding is observed.</w:t>
            </w:r>
          </w:p>
        </w:tc>
      </w:tr>
      <w:tr>
        <w:trPr>
          <w:cantSplit/>
        </w:trPr>
        <w:tc>
          <w:tcPr>
            <w:tcW w:type="dxa" w:w="338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Collection plus forwarding</w:t>
            </w:r>
          </w:p>
        </w:tc>
        <w:tc>
          <w:tcPr>
            <w:tcW w:type="dxa" w:w="93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70</w:t>
            </w:r>
          </w:p>
        </w:tc>
        <w:tc>
          <w:tcPr>
            <w:tcW w:type="dxa" w:w="165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Review</w:t>
            </w:r>
          </w:p>
        </w:tc>
        <w:tc>
          <w:tcPr>
            <w:tcW w:type="dxa" w:w="410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Observed outward movement reaches the configured volume threshold.</w:t>
            </w:r>
          </w:p>
        </w:tc>
      </w:tr>
      <w:tr>
        <w:trPr>
          <w:cantSplit/>
        </w:trPr>
        <w:tc>
          <w:tcPr>
            <w:tcW w:type="dxa" w:w="338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All three core signals</w:t>
            </w:r>
          </w:p>
        </w:tc>
        <w:tc>
          <w:tcPr>
            <w:tcW w:type="dxa" w:w="93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w:t>
            </w:r>
          </w:p>
        </w:tc>
        <w:tc>
          <w:tcPr>
            <w:tcW w:type="dxa" w:w="165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High priority</w:t>
            </w:r>
          </w:p>
        </w:tc>
        <w:tc>
          <w:tcPr>
            <w:tcW w:type="dxa" w:w="41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Two outward branches reach one common destination in time order.</w:t>
            </w:r>
          </w:p>
        </w:tc>
      </w:tr>
    </w:tbl>
    <w:p>
      <w:pPr>
        <w:spacing w:after="40"/>
      </w:pPr>
    </w:p>
    <w:p>
      <w:pPr>
        <w:spacing w:after="140" w:line="264" w:lineRule="auto"/>
      </w:pPr>
      <w:r>
        <w:rPr>
          <w:rFonts w:ascii="Liberation Sans" w:hAnsi="Liberation Sans" w:cs="Liberation Sans"/>
          <w:b/>
          <w:i w:val="0"/>
          <w:color w:val="243447"/>
          <w:sz w:val="22"/>
        </w:rPr>
        <w:t xml:space="preserve">Important distinction. </w:t>
      </w:r>
      <w:r>
        <w:rPr>
          <w:rFonts w:ascii="Liberation Sans" w:hAnsi="Liberation Sans" w:cs="Liberation Sans"/>
          <w:b w:val="0"/>
          <w:i w:val="0"/>
          <w:color w:val="243447"/>
          <w:sz w:val="22"/>
        </w:rPr>
        <w:t>A score of 100 means that all configured prototype checks triggered. It does not mean that fraud is confirmed. The engine does not perform FIFO allocation or claim that the smallest edge on a path represents an exact stolen amount.</w:t>
      </w:r>
    </w:p>
    <w:p>
      <w:pPr>
        <w:pStyle w:val="Heading2"/>
        <w:keepNext/>
      </w:pPr>
      <w:r>
        <w:t>Candidate selection and deduplication</w:t>
      </w:r>
    </w:p>
    <w:p>
      <w:pPr>
        <w:spacing w:after="120" w:before="0" w:line="259" w:lineRule="auto"/>
      </w:pPr>
      <w:r>
        <w:rPr>
          <w:rFonts w:ascii="Liberation Sans" w:hAnsi="Liberation Sans" w:cs="Liberation Sans"/>
          <w:b w:val="0"/>
          <w:i w:val="0"/>
          <w:color w:val="243447"/>
          <w:sz w:val="22"/>
        </w:rPr>
        <w:t>The detector considers each qualifying incoming timestamp as an anchor. It keeps one representative case per focal account by preferring the highest score, then the latest qualifying anchor, then a deterministic account or anchor tie-break. Evidence IDs are deduplicated and sorted chronologically. The queue is therefore a review queue, not a complete historical case-management system.</w:t>
      </w:r>
    </w:p>
    <w:p>
      <w:pPr>
        <w:pStyle w:val="Heading1"/>
        <w:keepNext/>
      </w:pPr>
      <w:r>
        <w:t>Graph intelligence</w:t>
      </w:r>
    </w:p>
    <w:p>
      <w:pPr>
        <w:spacing w:after="120" w:before="0" w:line="259" w:lineRule="auto"/>
      </w:pPr>
      <w:r>
        <w:rPr>
          <w:rFonts w:ascii="Liberation Sans" w:hAnsi="Liberation Sans" w:cs="Liberation Sans"/>
          <w:b w:val="0"/>
          <w:i w:val="0"/>
          <w:color w:val="243447"/>
          <w:sz w:val="22"/>
        </w:rPr>
        <w:t>The server-side graph pass adds context after the core case has been identified. It traverses only visible transactions, requires strictly increasing timestamps, prevents repeated account visits except for explicit cycle detection, and returns linked paths rather than an opaque label.</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66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Output</w:t>
            </w:r>
          </w:p>
        </w:tc>
        <w:tc>
          <w:tcPr>
            <w:tcW w:type="dxa" w:w="741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Meaning in the current implementation</w:t>
            </w:r>
          </w:p>
        </w:tc>
      </w:tr>
      <w:tr>
        <w:trPr>
          <w:cantSplit/>
        </w:trPr>
        <w:tc>
          <w:tcPr>
            <w:tcW w:type="dxa" w:w="266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Chronological paths</w:t>
            </w:r>
          </w:p>
        </w:tc>
        <w:tc>
          <w:tcPr>
            <w:tcW w:type="dxa" w:w="74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Transaction-by-transaction paths discovered from the focal account after the representative anchor</w:t>
            </w:r>
          </w:p>
        </w:tc>
      </w:tr>
      <w:tr>
        <w:trPr>
          <w:cantSplit/>
        </w:trPr>
        <w:tc>
          <w:tcPr>
            <w:tcW w:type="dxa" w:w="266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Bottleneck amount</w:t>
            </w:r>
          </w:p>
        </w:tc>
        <w:tc>
          <w:tcPr>
            <w:tcW w:type="dxa" w:w="74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smallest observed edge on a path. It is a display measure, not exact fund attribution</w:t>
            </w:r>
          </w:p>
        </w:tc>
      </w:tr>
      <w:tr>
        <w:trPr>
          <w:cantSplit/>
        </w:trPr>
        <w:tc>
          <w:tcPr>
            <w:tcW w:type="dxa" w:w="266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Direct counterparties</w:t>
            </w:r>
          </w:p>
        </w:tc>
        <w:tc>
          <w:tcPr>
            <w:tcW w:type="dxa" w:w="74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Distinct accounts directly connected to the focal account in visible records</w:t>
            </w:r>
          </w:p>
        </w:tc>
      </w:tr>
      <w:tr>
        <w:trPr>
          <w:cantSplit/>
        </w:trPr>
        <w:tc>
          <w:tcPr>
            <w:tcW w:type="dxa" w:w="266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Path depth</w:t>
            </w:r>
          </w:p>
        </w:tc>
        <w:tc>
          <w:tcPr>
            <w:tcW w:type="dxa" w:w="74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Number of transactions in the path, with a five-hop maximum</w:t>
            </w:r>
          </w:p>
        </w:tc>
      </w:tr>
      <w:tr>
        <w:trPr>
          <w:cantSplit/>
        </w:trPr>
        <w:tc>
          <w:tcPr>
            <w:tcW w:type="dxa" w:w="266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Cycle count</w:t>
            </w:r>
          </w:p>
        </w:tc>
        <w:tc>
          <w:tcPr>
            <w:tcW w:type="dxa" w:w="74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Chronological paths that return to the focal account</w:t>
            </w:r>
          </w:p>
        </w:tc>
      </w:tr>
      <w:tr>
        <w:trPr>
          <w:cantSplit/>
        </w:trPr>
        <w:tc>
          <w:tcPr>
            <w:tcW w:type="dxa" w:w="266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Network velocity</w:t>
            </w:r>
          </w:p>
        </w:tc>
        <w:tc>
          <w:tcPr>
            <w:tcW w:type="dxa" w:w="74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Count of relevant transfers around the collection anchor</w:t>
            </w:r>
          </w:p>
        </w:tc>
      </w:tr>
      <w:tr>
        <w:trPr>
          <w:cantSplit/>
        </w:trPr>
        <w:tc>
          <w:tcPr>
            <w:tcW w:type="dxa" w:w="266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Fan-out</w:t>
            </w:r>
          </w:p>
        </w:tc>
        <w:tc>
          <w:tcPr>
            <w:tcW w:type="dxa" w:w="74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Three or more distinct first-hop recipients after the anchor</w:t>
            </w:r>
          </w:p>
        </w:tc>
      </w:tr>
      <w:tr>
        <w:trPr>
          <w:cantSplit/>
        </w:trPr>
        <w:tc>
          <w:tcPr>
            <w:tcW w:type="dxa" w:w="266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Layering</w:t>
            </w:r>
          </w:p>
        </w:tc>
        <w:tc>
          <w:tcPr>
            <w:tcW w:type="dxa" w:w="741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 path of at least three chronological hops inside the trace window</w:t>
            </w:r>
          </w:p>
        </w:tc>
      </w:tr>
      <w:tr>
        <w:trPr>
          <w:cantSplit/>
        </w:trPr>
        <w:tc>
          <w:tcPr>
            <w:tcW w:type="dxa" w:w="266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Trace truncation</w:t>
            </w:r>
          </w:p>
        </w:tc>
        <w:tc>
          <w:tcPr>
            <w:tcW w:type="dxa" w:w="741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 flag when bounded branch or retained-path limits prevent complete graph display</w:t>
            </w:r>
          </w:p>
        </w:tc>
      </w:tr>
    </w:tbl>
    <w:p>
      <w:pPr>
        <w:spacing w:after="40"/>
      </w:pPr>
    </w:p>
    <w:p>
      <w:pPr>
        <w:spacing w:after="140" w:line="264" w:lineRule="auto"/>
      </w:pPr>
      <w:r>
        <w:rPr>
          <w:rFonts w:ascii="Liberation Sans" w:hAnsi="Liberation Sans" w:cs="Liberation Sans"/>
          <w:b/>
          <w:i w:val="0"/>
          <w:color w:val="243447"/>
          <w:sz w:val="22"/>
        </w:rPr>
        <w:t xml:space="preserve">Trace bounds. </w:t>
      </w:r>
      <w:r>
        <w:rPr>
          <w:rFonts w:ascii="Liberation Sans" w:hAnsi="Liberation Sans" w:cs="Liberation Sans"/>
          <w:b w:val="0"/>
          <w:i w:val="0"/>
          <w:color w:val="243447"/>
          <w:sz w:val="22"/>
        </w:rPr>
        <w:t>The graph engine uses a 5-hop maximum, a 30 minute total trace window, and a 10 minute maximum between hops. The UI limits display to 24 nodes and 60 edges for readability. Those display limits do not reduce the detector's input records.</w:t>
      </w:r>
    </w:p>
    <w:p>
      <w:r>
        <w:br w:type="page"/>
      </w:r>
    </w:p>
    <w:p>
      <w:pPr>
        <w:pStyle w:val="Heading1"/>
        <w:keepNext/>
      </w:pPr>
      <w:r>
        <w:t>Data intake and CSV contract</w:t>
      </w:r>
    </w:p>
    <w:p>
      <w:pPr>
        <w:spacing w:after="120" w:before="0" w:line="259" w:lineRule="auto"/>
      </w:pPr>
      <w:r>
        <w:rPr>
          <w:rFonts w:ascii="Liberation Sans" w:hAnsi="Liberation Sans" w:cs="Liberation Sans"/>
          <w:b w:val="0"/>
          <w:i w:val="0"/>
          <w:color w:val="243447"/>
          <w:sz w:val="22"/>
        </w:rPr>
        <w:t>The importer accepts six logical columns in any order. It uses Papa Parse for CSV tokenization, preserves IDs as strings, rejects incomplete or ambiguous records, and normalizes amounts into integer paise before the detector runs.</w:t>
      </w:r>
    </w:p>
    <w:p>
      <w:pPr>
        <w:spacing w:before="60" w:after="160" w:line="240" w:lineRule="auto"/>
        <w:ind w:left="317" w:right="216"/>
        <w:shd w:fill="F3F5F7" w:val="clear"/>
      </w:pPr>
      <w:r>
        <w:rPr>
          <w:rFonts w:ascii="Liberation Mono" w:hAnsi="Liberation Mono" w:cs="Liberation Mono"/>
          <w:b w:val="0"/>
          <w:i w:val="0"/>
          <w:color w:val="243447"/>
          <w:sz w:val="18"/>
        </w:rPr>
        <w:t>transaction_id,timestamp,from_account,to_account,amount,currency</w:t>
      </w:r>
      <w:r>
        <w:br/>
      </w:r>
      <w:r>
        <w:rPr>
          <w:rFonts w:ascii="Liberation Mono" w:hAnsi="Liberation Mono" w:cs="Liberation Mono"/>
          <w:b w:val="0"/>
          <w:i w:val="0"/>
          <w:color w:val="243447"/>
          <w:sz w:val="18"/>
        </w:rPr>
        <w:t>T001,2026-09-18T10:00:00+05:30,A001,A101,5000.00,INR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94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Column</w:t>
            </w:r>
          </w:p>
        </w:tc>
        <w:tc>
          <w:tcPr>
            <w:tcW w:type="dxa" w:w="590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Contract</w:t>
            </w:r>
          </w:p>
        </w:tc>
        <w:tc>
          <w:tcPr>
            <w:tcW w:type="dxa" w:w="223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Example</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transaction_id</w:t>
            </w:r>
          </w:p>
        </w:tc>
        <w:tc>
          <w:tcPr>
            <w:tcW w:type="dxa" w:w="59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 to 40 characters using letters, digits, underscore, or hyphen. Must be unique.</w:t>
            </w:r>
          </w:p>
        </w:tc>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T001</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timestamp</w:t>
            </w:r>
          </w:p>
        </w:tc>
        <w:tc>
          <w:tcPr>
            <w:tcW w:type="dxa" w:w="590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ISO 8601 with explicit Z or numeric offset. Display timezone is Asia/Kolkata.</w:t>
            </w:r>
          </w:p>
        </w:tc>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2026-09-18T10:00:00+05:30</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from_account</w:t>
            </w:r>
          </w:p>
        </w:tc>
        <w:tc>
          <w:tcPr>
            <w:tcW w:type="dxa" w:w="59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Opaque account ID using the same ID pattern as transaction IDs.</w:t>
            </w:r>
          </w:p>
        </w:tc>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A001</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to_account</w:t>
            </w:r>
          </w:p>
        </w:tc>
        <w:tc>
          <w:tcPr>
            <w:tcW w:type="dxa" w:w="590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Opaque account ID. Self-transfers are rejected in this prototype.</w:t>
            </w:r>
          </w:p>
        </w:tc>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A101</w:t>
            </w:r>
          </w:p>
        </w:tc>
      </w:tr>
      <w:tr>
        <w:trPr>
          <w:cantSplit/>
        </w:trPr>
        <w:tc>
          <w:tcPr>
            <w:tcW w:type="dxa" w:w="19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amount</w:t>
            </w:r>
          </w:p>
        </w:tc>
        <w:tc>
          <w:tcPr>
            <w:tcW w:type="dxa" w:w="59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Positive rupee decimal with zero, one, or two fractional digits. Stored as integer paise.</w:t>
            </w:r>
          </w:p>
        </w:tc>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5000.00</w:t>
            </w:r>
          </w:p>
        </w:tc>
      </w:tr>
      <w:tr>
        <w:trPr>
          <w:cantSplit/>
        </w:trPr>
        <w:tc>
          <w:tcPr>
            <w:tcW w:type="dxa" w:w="19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currency</w:t>
            </w:r>
          </w:p>
        </w:tc>
        <w:tc>
          <w:tcPr>
            <w:tcW w:type="dxa" w:w="590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Must be INR after trimming and uppercasing.</w:t>
            </w:r>
          </w:p>
        </w:tc>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INR</w:t>
            </w:r>
          </w:p>
        </w:tc>
      </w:tr>
    </w:tbl>
    <w:p>
      <w:pPr>
        <w:spacing w:after="40"/>
      </w:pPr>
    </w:p>
    <w:p>
      <w:pPr>
        <w:pStyle w:val="Heading2"/>
        <w:keepNext/>
      </w:pPr>
      <w:r>
        <w:t>Import limits and validation behavior</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Control</w:t>
            </w:r>
          </w:p>
        </w:tc>
        <w:tc>
          <w:tcPr>
            <w:tcW w:type="dxa" w:w="273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Current value</w:t>
            </w:r>
          </w:p>
        </w:tc>
        <w:tc>
          <w:tcPr>
            <w:tcW w:type="dxa" w:w="5256"/>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Behavior</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File size</w:t>
            </w:r>
          </w:p>
        </w:tc>
        <w:tc>
          <w:tcPr>
            <w:tcW w:type="dxa" w:w="273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 MiB</w:t>
            </w:r>
          </w:p>
        </w:tc>
        <w:tc>
          <w:tcPr>
            <w:tcW w:type="dxa" w:w="525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Reject the attempted import if it exceeds the limit</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Data rows</w:t>
            </w:r>
          </w:p>
        </w:tc>
        <w:tc>
          <w:tcPr>
            <w:tcW w:type="dxa" w:w="273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2,000</w:t>
            </w:r>
          </w:p>
        </w:tc>
        <w:tc>
          <w:tcPr>
            <w:tcW w:type="dxa" w:w="525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Reject the attempted import if it exceeds the limit</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Amount</w:t>
            </w:r>
          </w:p>
        </w:tc>
        <w:tc>
          <w:tcPr>
            <w:tcW w:type="dxa" w:w="273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Up to INR 100,000,000.00 per row</w:t>
            </w:r>
          </w:p>
        </w:tc>
        <w:tc>
          <w:tcPr>
            <w:tcW w:type="dxa" w:w="525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Reject signs, scientific notation, separators, symbols, excess decimals, and unsafe totals</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Currency</w:t>
            </w:r>
          </w:p>
        </w:tc>
        <w:tc>
          <w:tcPr>
            <w:tcW w:type="dxa" w:w="273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INR only</w:t>
            </w:r>
          </w:p>
        </w:tc>
        <w:tc>
          <w:tcPr>
            <w:tcW w:type="dxa" w:w="525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Reject mixed or unsupported currencies</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Record identity</w:t>
            </w:r>
          </w:p>
        </w:tc>
        <w:tc>
          <w:tcPr>
            <w:tcW w:type="dxa" w:w="273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Unique IDs and no self-transfers</w:t>
            </w:r>
          </w:p>
        </w:tc>
        <w:tc>
          <w:tcPr>
            <w:tcW w:type="dxa" w:w="5256"/>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Show row-level errors and keep the current dataset unchanged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Validation mode</w:t>
            </w:r>
          </w:p>
        </w:tc>
        <w:tc>
          <w:tcPr>
            <w:tcW w:type="dxa" w:w="273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All or nothing</w:t>
            </w:r>
          </w:p>
        </w:tc>
        <w:tc>
          <w:tcPr>
            <w:tcW w:type="dxa" w:w="5256"/>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Do not analyze a silently incomplete subset</w:t>
            </w:r>
          </w:p>
        </w:tc>
      </w:tr>
    </w:tbl>
    <w:p>
      <w:pPr>
        <w:spacing w:after="40"/>
      </w:pPr>
    </w:p>
    <w:p>
      <w:pPr>
        <w:pStyle w:val="ListBullet"/>
        <w:spacing w:after="80" w:line="252" w:lineRule="auto"/>
      </w:pPr>
      <w:r>
        <w:rPr>
          <w:rFonts w:ascii="Liberation Sans" w:hAnsi="Liberation Sans" w:cs="Liberation Sans"/>
          <w:b w:val="0"/>
          <w:i w:val="0"/>
          <w:color w:val="243447"/>
          <w:sz w:val="21"/>
        </w:rPr>
        <w:t>Required headers are normalized for whitespace and a UTF-8 byte order mark. Duplicate logical headers are rejected.</w:t>
      </w:r>
    </w:p>
    <w:p>
      <w:pPr>
        <w:pStyle w:val="ListBullet"/>
        <w:spacing w:after="80" w:line="252" w:lineRule="auto"/>
      </w:pPr>
      <w:r>
        <w:rPr>
          <w:rFonts w:ascii="Liberation Sans" w:hAnsi="Liberation Sans" w:cs="Liberation Sans"/>
          <w:b w:val="0"/>
          <w:i w:val="0"/>
          <w:color w:val="243447"/>
          <w:sz w:val="21"/>
        </w:rPr>
        <w:t>Unsorted valid input can be normalized into deterministic timestamp and transaction ID order.</w:t>
      </w:r>
    </w:p>
    <w:p>
      <w:pPr>
        <w:pStyle w:val="ListBullet"/>
        <w:spacing w:after="80" w:line="252" w:lineRule="auto"/>
      </w:pPr>
      <w:r>
        <w:rPr>
          <w:rFonts w:ascii="Liberation Sans" w:hAnsi="Liberation Sans" w:cs="Liberation Sans"/>
          <w:b w:val="0"/>
          <w:i w:val="0"/>
          <w:color w:val="243447"/>
          <w:sz w:val="21"/>
        </w:rPr>
        <w:t>Extra fields are ignored only with an explicit warning. They do not enter the engine, graph, evidence, or export.</w:t>
      </w:r>
    </w:p>
    <w:p>
      <w:pPr>
        <w:pStyle w:val="ListBullet"/>
        <w:spacing w:after="80" w:line="252" w:lineRule="auto"/>
      </w:pPr>
      <w:r>
        <w:rPr>
          <w:rFonts w:ascii="Liberation Sans" w:hAnsi="Liberation Sans" w:cs="Liberation Sans"/>
          <w:b w:val="0"/>
          <w:i w:val="0"/>
          <w:color w:val="243447"/>
          <w:sz w:val="21"/>
        </w:rPr>
        <w:t>At most five detailed errors are shown in the import dialog, with the total error count preserved.</w:t>
      </w:r>
    </w:p>
    <w:p>
      <w:pPr>
        <w:pStyle w:val="Heading1"/>
        <w:keepNext/>
      </w:pPr>
      <w:r>
        <w:t>API and persistence</w:t>
      </w:r>
    </w:p>
    <w:p>
      <w:pPr>
        <w:pStyle w:val="Heading2"/>
        <w:keepNext/>
      </w:pPr>
      <w:r>
        <w:t>Analysis endpoint</w:t>
      </w:r>
    </w:p>
    <w:p>
      <w:pPr>
        <w:spacing w:after="120" w:before="0" w:line="259" w:lineRule="auto"/>
      </w:pPr>
      <w:r>
        <w:rPr>
          <w:rFonts w:ascii="Liberation Sans" w:hAnsi="Liberation Sans" w:cs="Liberation Sans"/>
          <w:b w:val="0"/>
          <w:i w:val="0"/>
          <w:color w:val="243447"/>
          <w:sz w:val="22"/>
        </w:rPr>
        <w:t>The route at POST /api/analyze re-validates the normalized transaction payload at the server boundary. It rejects invalid methods, oversized JSON requests, malformed transactions, duplicate IDs, unsafe amounts, invalid cutoffs, and invalid focal account IDs. Responses use no-store caching.</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23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Part</w:t>
            </w:r>
          </w:p>
        </w:tc>
        <w:tc>
          <w:tcPr>
            <w:tcW w:type="dxa" w:w="784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Current contract</w:t>
            </w:r>
          </w:p>
        </w:tc>
      </w:tr>
      <w:tr>
        <w:trPr>
          <w:cantSplit/>
        </w:trPr>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Request</w:t>
            </w:r>
          </w:p>
        </w:tc>
        <w:tc>
          <w:tcPr>
            <w:tcW w:type="dxa" w:w="78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transactions: normalized INR records, asOfMs: finite number or null, optional focalAccountId</w:t>
            </w:r>
          </w:p>
        </w:tc>
      </w:tr>
      <w:tr>
        <w:trPr>
          <w:cantSplit/>
        </w:trPr>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Success</w:t>
            </w:r>
          </w:p>
        </w:tc>
        <w:tc>
          <w:tcPr>
            <w:tcW w:type="dxa" w:w="78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ok, engineVersion, processedAt, asOfMs, snapshot, and intelligenceByAccount</w:t>
            </w:r>
          </w:p>
        </w:tc>
      </w:tr>
      <w:tr>
        <w:trPr>
          <w:cantSplit/>
        </w:trPr>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Engine version</w:t>
            </w:r>
          </w:p>
        </w:tc>
        <w:tc>
          <w:tcPr>
            <w:tcW w:type="dxa" w:w="78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fintrace-graph-v2</w:t>
            </w:r>
          </w:p>
        </w:tc>
      </w:tr>
      <w:tr>
        <w:trPr>
          <w:cantSplit/>
        </w:trPr>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Error response</w:t>
            </w:r>
          </w:p>
        </w:tc>
        <w:tc>
          <w:tcPr>
            <w:tcW w:type="dxa" w:w="78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ok false, a readable error, and up to 20 issues</w:t>
            </w:r>
          </w:p>
        </w:tc>
      </w:tr>
      <w:tr>
        <w:trPr>
          <w:cantSplit/>
        </w:trPr>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Fallback</w:t>
            </w:r>
          </w:p>
        </w:tc>
        <w:tc>
          <w:tcPr>
            <w:tcW w:type="dxa" w:w="78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browser uses local analysis when the same-origin endpoint is unavailable</w:t>
            </w:r>
          </w:p>
        </w:tc>
      </w:tr>
    </w:tbl>
    <w:p>
      <w:pPr>
        <w:spacing w:after="40"/>
      </w:pPr>
    </w:p>
    <w:p>
      <w:pPr>
        <w:pStyle w:val="Heading2"/>
        <w:keepNext/>
      </w:pPr>
      <w:r>
        <w:t>Supabase data model</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23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Table</w:t>
            </w:r>
          </w:p>
        </w:tc>
        <w:tc>
          <w:tcPr>
            <w:tcW w:type="dxa" w:w="554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Fields and purpose</w:t>
            </w:r>
          </w:p>
        </w:tc>
        <w:tc>
          <w:tcPr>
            <w:tcW w:type="dxa" w:w="230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Access boundary</w:t>
            </w:r>
          </w:p>
        </w:tc>
      </w:tr>
      <w:tr>
        <w:trPr>
          <w:cantSplit/>
        </w:trPr>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public.profiles</w:t>
            </w:r>
          </w:p>
        </w:tc>
        <w:tc>
          <w:tcPr>
            <w:tcW w:type="dxa" w:w="55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User ID linked to auth.users, display name, optional organization and avatar fields, timestamps</w:t>
            </w:r>
          </w:p>
        </w:tc>
        <w:tc>
          <w:tcPr>
            <w:tcW w:type="dxa" w:w="23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Authenticated users can read and update their own profile</w:t>
            </w:r>
          </w:p>
        </w:tc>
      </w:tr>
      <w:tr>
        <w:trPr>
          <w:cantSplit/>
        </w:trPr>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public.investigations</w:t>
            </w:r>
          </w:p>
        </w:tc>
        <w:tc>
          <w:tcPr>
            <w:tcW w:type="dxa" w:w="554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Owner ID, title, source metadata, selected account, cutoff, score, JSONB payload, timestamps</w:t>
            </w:r>
          </w:p>
        </w:tc>
        <w:tc>
          <w:tcPr>
            <w:tcW w:type="dxa" w:w="230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Authenticated users can read, insert, update, and delete only rows where owner_id equals auth.uid()</w:t>
            </w:r>
          </w:p>
        </w:tc>
      </w:tr>
      <w:tr>
        <w:trPr>
          <w:cantSplit/>
        </w:trPr>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private functions</w:t>
            </w:r>
          </w:p>
        </w:tc>
        <w:tc>
          <w:tcPr>
            <w:tcW w:type="dxa" w:w="554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Trigger helpers for updated_at and profile creation after signup</w:t>
            </w:r>
          </w:p>
        </w:tc>
        <w:tc>
          <w:tcPr>
            <w:tcW w:type="dxa" w:w="230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Schema is not exposed to anon or authenticated client roles</w:t>
            </w:r>
          </w:p>
        </w:tc>
      </w:tr>
    </w:tbl>
    <w:p>
      <w:pPr>
        <w:spacing w:after="40"/>
      </w:pPr>
    </w:p>
    <w:p>
      <w:pPr>
        <w:spacing w:after="120" w:before="0" w:line="259" w:lineRule="auto"/>
      </w:pPr>
      <w:r>
        <w:rPr>
          <w:rFonts w:ascii="Liberation Sans" w:hAnsi="Liberation Sans" w:cs="Liberation Sans"/>
          <w:b w:val="0"/>
          <w:i w:val="0"/>
          <w:color w:val="243447"/>
          <w:sz w:val="22"/>
        </w:rPr>
        <w:t>The browser reads only VITE_SUPABASE_URL and VITE_SUPABASE_PUBLISHABLE_KEY. A service role key must never be placed in Vite or Vercel client-visible variables. Demo sessions remain local-only until the project values are added and supabase/schema.sql is applied by an authorised project owner.</w:t>
      </w:r>
    </w:p>
    <w:p>
      <w:pPr>
        <w:pStyle w:val="Heading2"/>
        <w:keepNext/>
      </w:pPr>
      <w:r>
        <w:t>Configuration sequence</w:t>
      </w:r>
    </w:p>
    <w:p>
      <w:pPr>
        <w:spacing w:after="80" w:line="252" w:lineRule="auto"/>
        <w:ind w:left="403" w:hanging="403"/>
      </w:pPr>
      <w:r>
        <w:rPr>
          <w:rFonts w:ascii="Liberation Sans" w:hAnsi="Liberation Sans" w:cs="Liberation Sans"/>
          <w:b w:val="0"/>
          <w:i w:val="0"/>
          <w:color w:val="243447"/>
          <w:sz w:val="21"/>
        </w:rPr>
        <w:t xml:space="preserve">1.  </w:t>
      </w:r>
      <w:r>
        <w:rPr>
          <w:rFonts w:ascii="Liberation Sans" w:hAnsi="Liberation Sans" w:cs="Liberation Sans"/>
          <w:b w:val="0"/>
          <w:i w:val="0"/>
          <w:color w:val="243447"/>
          <w:sz w:val="21"/>
        </w:rPr>
        <w:t>Create a Supabase project and copy its project URL and publishable key into .env.local.</w:t>
      </w:r>
    </w:p>
    <w:p>
      <w:pPr>
        <w:spacing w:after="80" w:line="252" w:lineRule="auto"/>
        <w:ind w:left="403" w:hanging="403"/>
      </w:pPr>
      <w:r>
        <w:rPr>
          <w:rFonts w:ascii="Liberation Sans" w:hAnsi="Liberation Sans" w:cs="Liberation Sans"/>
          <w:b w:val="0"/>
          <w:i w:val="0"/>
          <w:color w:val="243447"/>
          <w:sz w:val="21"/>
        </w:rPr>
        <w:t xml:space="preserve">2.  </w:t>
      </w:r>
      <w:r>
        <w:rPr>
          <w:rFonts w:ascii="Liberation Sans" w:hAnsi="Liberation Sans" w:cs="Liberation Sans"/>
          <w:b w:val="0"/>
          <w:i w:val="0"/>
          <w:color w:val="243447"/>
          <w:sz w:val="21"/>
        </w:rPr>
        <w:t>Run supabase/schema.sql once in the intended Supabase SQL Editor.</w:t>
      </w:r>
    </w:p>
    <w:p>
      <w:pPr>
        <w:spacing w:after="80" w:line="252" w:lineRule="auto"/>
        <w:ind w:left="403" w:hanging="403"/>
      </w:pPr>
      <w:r>
        <w:rPr>
          <w:rFonts w:ascii="Liberation Sans" w:hAnsi="Liberation Sans" w:cs="Liberation Sans"/>
          <w:b w:val="0"/>
          <w:i w:val="0"/>
          <w:color w:val="243447"/>
          <w:sz w:val="21"/>
        </w:rPr>
        <w:t xml:space="preserve">3.  </w:t>
      </w:r>
      <w:r>
        <w:rPr>
          <w:rFonts w:ascii="Liberation Sans" w:hAnsi="Liberation Sans" w:cs="Liberation Sans"/>
          <w:b w:val="0"/>
          <w:i w:val="0"/>
          <w:color w:val="243447"/>
          <w:sz w:val="21"/>
        </w:rPr>
        <w:t>Restart the Vite server so the environment values load.</w:t>
      </w:r>
    </w:p>
    <w:p>
      <w:pPr>
        <w:spacing w:after="80" w:line="252" w:lineRule="auto"/>
        <w:ind w:left="403" w:hanging="403"/>
      </w:pPr>
      <w:r>
        <w:rPr>
          <w:rFonts w:ascii="Liberation Sans" w:hAnsi="Liberation Sans" w:cs="Liberation Sans"/>
          <w:b w:val="0"/>
          <w:i w:val="0"/>
          <w:color w:val="243447"/>
          <w:sz w:val="21"/>
        </w:rPr>
        <w:t xml:space="preserve">4.  </w:t>
      </w:r>
      <w:r>
        <w:rPr>
          <w:rFonts w:ascii="Liberation Sans" w:hAnsi="Liberation Sans" w:cs="Liberation Sans"/>
          <w:b w:val="0"/>
          <w:i w:val="0"/>
          <w:color w:val="243447"/>
          <w:sz w:val="21"/>
        </w:rPr>
        <w:t>Verify signup, sign-in, password recovery, Save case, and owner-scoped investigation reads.</w:t>
      </w:r>
    </w:p>
    <w:p>
      <w:pPr>
        <w:spacing w:after="80" w:line="252" w:lineRule="auto"/>
        <w:ind w:left="403" w:hanging="403"/>
      </w:pPr>
      <w:r>
        <w:rPr>
          <w:rFonts w:ascii="Liberation Sans" w:hAnsi="Liberation Sans" w:cs="Liberation Sans"/>
          <w:b w:val="0"/>
          <w:i w:val="0"/>
          <w:color w:val="243447"/>
          <w:sz w:val="21"/>
        </w:rPr>
        <w:t xml:space="preserve">5.  </w:t>
      </w:r>
      <w:r>
        <w:rPr>
          <w:rFonts w:ascii="Liberation Sans" w:hAnsi="Liberation Sans" w:cs="Liberation Sans"/>
          <w:b w:val="0"/>
          <w:i w:val="0"/>
          <w:color w:val="243447"/>
          <w:sz w:val="21"/>
        </w:rPr>
        <w:t>Add the same VITE_SUPABASE_* values to the Vercel environment before a production deployment.</w:t>
      </w:r>
    </w:p>
    <w:p>
      <w:pPr>
        <w:pStyle w:val="Heading1"/>
        <w:keepNext/>
      </w:pPr>
      <w:r>
        <w:t>Testing and verification</w:t>
      </w:r>
    </w:p>
    <w:p>
      <w:pPr>
        <w:spacing w:after="120" w:before="0" w:line="259" w:lineRule="auto"/>
      </w:pPr>
      <w:r>
        <w:rPr>
          <w:rFonts w:ascii="Liberation Sans" w:hAnsi="Liberation Sans" w:cs="Liberation Sans"/>
          <w:b w:val="0"/>
          <w:i w:val="0"/>
          <w:color w:val="243447"/>
          <w:sz w:val="22"/>
        </w:rPr>
        <w:t>The project uses layered verification. Pure engine tests cover rule semantics, API tests cover the request boundary, integration tests cover replay and export behavior, and headed browser checks cover the real interaction path.</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Check</w:t>
            </w:r>
          </w:p>
        </w:tc>
        <w:tc>
          <w:tcPr>
            <w:tcW w:type="dxa" w:w="482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Command or method</w:t>
            </w:r>
          </w:p>
        </w:tc>
        <w:tc>
          <w:tcPr>
            <w:tcW w:type="dxa" w:w="316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Current result</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Type safety</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npm run typecheck</w:t>
            </w:r>
          </w:p>
        </w:tc>
        <w:tc>
          <w:tcPr>
            <w:tcW w:type="dxa" w:w="31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Pass</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Lint</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npm run lint</w:t>
            </w:r>
          </w:p>
        </w:tc>
        <w:tc>
          <w:tcPr>
            <w:tcW w:type="dxa" w:w="316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Pass</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Full test suite</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npm test -- --run</w:t>
            </w:r>
          </w:p>
        </w:tc>
        <w:tc>
          <w:tcPr>
            <w:tcW w:type="dxa" w:w="31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58 tests passed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Focused accuracy matrix</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npm test -- --run src/tests/accuracy.test.ts</w:t>
            </w:r>
          </w:p>
        </w:tc>
        <w:tc>
          <w:tcPr>
            <w:tcW w:type="dxa" w:w="316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25 of 25 scenarios passed</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Production build</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npm run build</w:t>
            </w:r>
          </w:p>
        </w:tc>
        <w:tc>
          <w:tcPr>
            <w:tcW w:type="dxa" w:w="31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Pass</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Browser flow</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Headed Playwright on the local Vite app</w:t>
            </w:r>
          </w:p>
        </w:tc>
        <w:tc>
          <w:tcPr>
            <w:tcW w:type="dxa" w:w="316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Auth gate, demo login, dataset load, replay, evidence, save messaging, sign out, and recovery validation checked</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Responsive check</w:t>
            </w:r>
          </w:p>
        </w:tc>
        <w:tc>
          <w:tcPr>
            <w:tcW w:type="dxa" w:w="48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390 pixel viewport browser check</w:t>
            </w:r>
          </w:p>
        </w:tc>
        <w:tc>
          <w:tcPr>
            <w:tcW w:type="dxa" w:w="31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No horizontal overflow or offender elements found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Console check</w:t>
            </w:r>
          </w:p>
        </w:tc>
        <w:tc>
          <w:tcPr>
            <w:tcW w:type="dxa" w:w="48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Fresh WebKit sessions</w:t>
            </w:r>
          </w:p>
        </w:tc>
        <w:tc>
          <w:tcPr>
            <w:tcW w:type="dxa" w:w="316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No errors or warnings observed</w:t>
            </w:r>
          </w:p>
        </w:tc>
      </w:tr>
    </w:tbl>
    <w:p>
      <w:pPr>
        <w:spacing w:after="40"/>
      </w:pPr>
    </w:p>
    <w:p>
      <w:pPr>
        <w:pStyle w:val="Heading2"/>
        <w:keepNext/>
      </w:pPr>
      <w:r>
        <w:t>Accuracy matrix coverage</w:t>
      </w:r>
    </w:p>
    <w:p>
      <w:pPr>
        <w:spacing w:after="120" w:before="0" w:line="259" w:lineRule="auto"/>
      </w:pPr>
      <w:r>
        <w:rPr>
          <w:rFonts w:ascii="Liberation Sans" w:hAnsi="Liberation Sans" w:cs="Liberation Sans"/>
          <w:b w:val="0"/>
          <w:i w:val="0"/>
          <w:color w:val="243447"/>
          <w:sz w:val="22"/>
        </w:rPr>
        <w:t>The 25 synthetic scenarios cover threshold edges, cutoff replay, future-record exclusion, reconvergence witnesses, layering, fan-out, cycles, network velocity, over-attribution warnings, and bounded deep tracing. The matrix uses isolated account namespaces and calls the same validating analysis handler used by the local UI and the Vercel route.</w:t>
      </w:r>
    </w:p>
    <w:p>
      <w:pPr>
        <w:pStyle w:val="Heading2"/>
        <w:keepNext/>
      </w:pPr>
      <w:r>
        <w:t>Canonical replay checkpoints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Cutoff in IST</w:t>
            </w:r>
          </w:p>
        </w:tc>
        <w:tc>
          <w:tcPr>
            <w:tcW w:type="dxa" w:w="115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Score</w:t>
            </w:r>
          </w:p>
        </w:tc>
        <w:tc>
          <w:tcPr>
            <w:tcW w:type="dxa" w:w="6840"/>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Visible interpretation</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10:02:00</w:t>
            </w:r>
          </w:p>
        </w:tc>
        <w:tc>
          <w:tcPr>
            <w:tcW w:type="dxa" w:w="115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30</w:t>
            </w:r>
          </w:p>
        </w:tc>
        <w:tc>
          <w:tcPr>
            <w:tcW w:type="dxa" w:w="684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Collection observed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10:04:00</w:t>
            </w:r>
          </w:p>
        </w:tc>
        <w:tc>
          <w:tcPr>
            <w:tcW w:type="dxa" w:w="115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30</w:t>
            </w:r>
          </w:p>
        </w:tc>
        <w:tc>
          <w:tcPr>
            <w:tcW w:type="dxa" w:w="684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Forwarding window has just started</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10:04:30</w:t>
            </w:r>
          </w:p>
        </w:tc>
        <w:tc>
          <w:tcPr>
            <w:tcW w:type="dxa" w:w="115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70</w:t>
            </w:r>
          </w:p>
        </w:tc>
        <w:tc>
          <w:tcPr>
            <w:tcW w:type="dxa" w:w="684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95 percent outward volume observed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10:06:00</w:t>
            </w:r>
          </w:p>
        </w:tc>
        <w:tc>
          <w:tcPr>
            <w:tcW w:type="dxa" w:w="115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70</w:t>
            </w:r>
          </w:p>
        </w:tc>
        <w:tc>
          <w:tcPr>
            <w:tcW w:type="dxa" w:w="684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One reconvergence branch visible</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10:06:30</w:t>
            </w:r>
          </w:p>
        </w:tc>
        <w:tc>
          <w:tcPr>
            <w:tcW w:type="dxa" w:w="115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100</w:t>
            </w:r>
          </w:p>
        </w:tc>
        <w:tc>
          <w:tcPr>
            <w:tcW w:type="dxa" w:w="684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Two branch common recipient witnessed</w:t>
            </w:r>
          </w:p>
        </w:tc>
      </w:tr>
    </w:tbl>
    <w:p>
      <w:pPr>
        <w:spacing w:after="40"/>
      </w:pPr>
    </w:p>
    <w:p>
      <w:pPr>
        <w:pStyle w:val="Heading1"/>
        <w:keepNext/>
      </w:pPr>
      <w:r>
        <w:t>Hackathon demo script</w:t>
      </w:r>
    </w:p>
    <w:p>
      <w:pPr>
        <w:spacing w:after="80" w:line="252" w:lineRule="auto"/>
        <w:ind w:left="403" w:hanging="403"/>
      </w:pPr>
      <w:r>
        <w:rPr>
          <w:rFonts w:ascii="Liberation Sans" w:hAnsi="Liberation Sans" w:cs="Liberation Sans"/>
          <w:b w:val="0"/>
          <w:i w:val="0"/>
          <w:color w:val="243447"/>
          <w:sz w:val="21"/>
        </w:rPr>
        <w:t xml:space="preserve">1.  </w:t>
      </w:r>
      <w:r>
        <w:rPr>
          <w:rFonts w:ascii="Liberation Sans" w:hAnsi="Liberation Sans" w:cs="Liberation Sans"/>
          <w:b w:val="0"/>
          <w:i w:val="0"/>
          <w:color w:val="243447"/>
          <w:sz w:val="21"/>
        </w:rPr>
        <w:t>Start at the auth screen and choose the local demo path when Supabase is not configured.</w:t>
      </w:r>
    </w:p>
    <w:p>
      <w:pPr>
        <w:spacing w:after="80" w:line="252" w:lineRule="auto"/>
        <w:ind w:left="403" w:hanging="403"/>
      </w:pPr>
      <w:r>
        <w:rPr>
          <w:rFonts w:ascii="Liberation Sans" w:hAnsi="Liberation Sans" w:cs="Liberation Sans"/>
          <w:b w:val="0"/>
          <w:i w:val="0"/>
          <w:color w:val="243447"/>
          <w:sz w:val="21"/>
        </w:rPr>
        <w:t xml:space="preserve">2.  </w:t>
      </w:r>
      <w:r>
        <w:rPr>
          <w:rFonts w:ascii="Liberation Sans" w:hAnsi="Liberation Sans" w:cs="Liberation Sans"/>
          <w:b w:val="0"/>
          <w:i w:val="0"/>
          <w:color w:val="243447"/>
          <w:sz w:val="21"/>
        </w:rPr>
        <w:t>Load Split and reconverge. Point out that A101 is the highest-priority representative case.</w:t>
      </w:r>
    </w:p>
    <w:p>
      <w:pPr>
        <w:spacing w:after="80" w:line="252" w:lineRule="auto"/>
        <w:ind w:left="403" w:hanging="403"/>
      </w:pPr>
      <w:r>
        <w:rPr>
          <w:rFonts w:ascii="Liberation Sans" w:hAnsi="Liberation Sans" w:cs="Liberation Sans"/>
          <w:b w:val="0"/>
          <w:i w:val="0"/>
          <w:color w:val="243447"/>
          <w:sz w:val="21"/>
        </w:rPr>
        <w:t xml:space="preserve">3.  </w:t>
      </w:r>
      <w:r>
        <w:rPr>
          <w:rFonts w:ascii="Liberation Sans" w:hAnsi="Liberation Sans" w:cs="Liberation Sans"/>
          <w:b w:val="0"/>
          <w:i w:val="0"/>
          <w:color w:val="243447"/>
          <w:sz w:val="21"/>
        </w:rPr>
        <w:t>Open one signal row and Evidence rows. Show that the explanation contains observed values and linked transaction IDs.</w:t>
      </w:r>
    </w:p>
    <w:p>
      <w:pPr>
        <w:spacing w:after="80" w:line="252" w:lineRule="auto"/>
        <w:ind w:left="403" w:hanging="403"/>
      </w:pPr>
      <w:r>
        <w:rPr>
          <w:rFonts w:ascii="Liberation Sans" w:hAnsi="Liberation Sans" w:cs="Liberation Sans"/>
          <w:b w:val="0"/>
          <w:i w:val="0"/>
          <w:color w:val="243447"/>
          <w:sz w:val="21"/>
        </w:rPr>
        <w:t xml:space="preserve">4.  </w:t>
      </w:r>
      <w:r>
        <w:rPr>
          <w:rFonts w:ascii="Liberation Sans" w:hAnsi="Liberation Sans" w:cs="Liberation Sans"/>
          <w:b w:val="0"/>
          <w:i w:val="0"/>
          <w:color w:val="243447"/>
          <w:sz w:val="21"/>
        </w:rPr>
        <w:t>Press Reset and advance with Next. Pause at 10:04:30 to show the 70 point review state.</w:t>
      </w:r>
    </w:p>
    <w:p>
      <w:pPr>
        <w:spacing w:after="80" w:line="252" w:lineRule="auto"/>
        <w:ind w:left="403" w:hanging="403"/>
      </w:pPr>
      <w:r>
        <w:rPr>
          <w:rFonts w:ascii="Liberation Sans" w:hAnsi="Liberation Sans" w:cs="Liberation Sans"/>
          <w:b w:val="0"/>
          <w:i w:val="0"/>
          <w:color w:val="243447"/>
          <w:sz w:val="21"/>
        </w:rPr>
        <w:t xml:space="preserve">5.  </w:t>
      </w:r>
      <w:r>
        <w:rPr>
          <w:rFonts w:ascii="Liberation Sans" w:hAnsi="Liberation Sans" w:cs="Liberation Sans"/>
          <w:b w:val="0"/>
          <w:i w:val="0"/>
          <w:color w:val="243447"/>
          <w:sz w:val="21"/>
        </w:rPr>
        <w:t>Advance to 10:06:30. Show the two chronological paths from A101 through A201 and A202 to A301.</w:t>
      </w:r>
    </w:p>
    <w:p>
      <w:pPr>
        <w:spacing w:after="80" w:line="252" w:lineRule="auto"/>
        <w:ind w:left="403" w:hanging="403"/>
      </w:pPr>
      <w:r>
        <w:rPr>
          <w:rFonts w:ascii="Liberation Sans" w:hAnsi="Liberation Sans" w:cs="Liberation Sans"/>
          <w:b w:val="0"/>
          <w:i w:val="0"/>
          <w:color w:val="243447"/>
          <w:sz w:val="21"/>
        </w:rPr>
        <w:t xml:space="preserve">6.  </w:t>
      </w:r>
      <w:r>
        <w:rPr>
          <w:rFonts w:ascii="Liberation Sans" w:hAnsi="Liberation Sans" w:cs="Liberation Sans"/>
          <w:b w:val="0"/>
          <w:i w:val="0"/>
          <w:color w:val="243447"/>
          <w:sz w:val="21"/>
        </w:rPr>
        <w:t>Open Ambiguous settlement and explain that the same observed structure can be legitimate. The product supports review rather than accusation.</w:t>
      </w:r>
    </w:p>
    <w:p>
      <w:pPr>
        <w:spacing w:after="80" w:line="252" w:lineRule="auto"/>
        <w:ind w:left="403" w:hanging="403"/>
      </w:pPr>
      <w:r>
        <w:rPr>
          <w:rFonts w:ascii="Liberation Sans" w:hAnsi="Liberation Sans" w:cs="Liberation Sans"/>
          <w:b w:val="0"/>
          <w:i w:val="0"/>
          <w:color w:val="243447"/>
          <w:sz w:val="21"/>
        </w:rPr>
        <w:t xml:space="preserve">7.  </w:t>
      </w:r>
      <w:r>
        <w:rPr>
          <w:rFonts w:ascii="Liberation Sans" w:hAnsi="Liberation Sans" w:cs="Liberation Sans"/>
          <w:b w:val="0"/>
          <w:i w:val="0"/>
          <w:color w:val="243447"/>
          <w:sz w:val="21"/>
        </w:rPr>
        <w:t>Optionally import an invalid CSV to show all-or-nothing validation, then export the current JSON snapshot.</w:t>
      </w:r>
    </w:p>
    <w:p>
      <w:pPr>
        <w:pStyle w:val="Heading2"/>
        <w:keepNext/>
      </w:pPr>
      <w:r>
        <w:t>Judge talking points</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60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What to show</w:t>
            </w:r>
          </w:p>
        </w:tc>
        <w:tc>
          <w:tcPr>
            <w:tcW w:type="dxa" w:w="547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What it proves</w:t>
            </w:r>
          </w:p>
        </w:tc>
      </w:tr>
      <w:tr>
        <w:trPr>
          <w:cantSplit/>
        </w:trPr>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timeline changes the score</w:t>
            </w:r>
          </w:p>
        </w:tc>
        <w:tc>
          <w:tcPr>
            <w:tcW w:type="dxa" w:w="547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engine respects what was visible at each cutoff</w:t>
            </w:r>
          </w:p>
        </w:tc>
      </w:tr>
      <w:tr>
        <w:trPr>
          <w:cantSplit/>
        </w:trPr>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Two branches reach A301</w:t>
            </w:r>
          </w:p>
        </w:tc>
        <w:tc>
          <w:tcPr>
            <w:tcW w:type="dxa" w:w="547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graph pass produces an inspectable witness, not only a label</w:t>
            </w:r>
          </w:p>
        </w:tc>
      </w:tr>
      <w:tr>
        <w:trPr>
          <w:cantSplit/>
        </w:trPr>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Evidence rows open from a signal</w:t>
            </w:r>
          </w:p>
        </w:tc>
        <w:tc>
          <w:tcPr>
            <w:tcW w:type="dxa" w:w="547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Every point can be connected back to records</w:t>
            </w:r>
          </w:p>
        </w:tc>
      </w:tr>
      <w:tr>
        <w:trPr>
          <w:cantSplit/>
        </w:trPr>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Ambiguous settlement example</w:t>
            </w:r>
          </w:p>
        </w:tc>
        <w:tc>
          <w:tcPr>
            <w:tcW w:type="dxa" w:w="547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team understands false positives and responsible use</w:t>
            </w:r>
          </w:p>
        </w:tc>
      </w:tr>
      <w:tr>
        <w:trPr>
          <w:cantSplit/>
        </w:trPr>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25 of 25 boundary scenarios</w:t>
            </w:r>
          </w:p>
        </w:tc>
        <w:tc>
          <w:tcPr>
            <w:tcW w:type="dxa" w:w="547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team tests inclusions and exclusions rather than only the happy path</w:t>
            </w:r>
          </w:p>
        </w:tc>
      </w:tr>
      <w:tr>
        <w:trPr>
          <w:cantSplit/>
        </w:trPr>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Vercel and Supabase path</w:t>
            </w:r>
          </w:p>
        </w:tc>
        <w:tc>
          <w:tcPr>
            <w:tcW w:type="dxa" w:w="547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The prototype has a practical route from local demo to private deployment</w:t>
            </w:r>
          </w:p>
        </w:tc>
      </w:tr>
    </w:tbl>
    <w:p>
      <w:pPr>
        <w:spacing w:after="40"/>
      </w:pPr>
    </w:p>
    <w:p>
      <w:pPr>
        <w:pStyle w:val="Heading1"/>
        <w:keepNext/>
      </w:pPr>
      <w:r>
        <w:t>Implementation status</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3024"/>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Area</w:t>
            </w:r>
          </w:p>
        </w:tc>
        <w:tc>
          <w:tcPr>
            <w:tcW w:type="dxa" w:w="244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Status</w:t>
            </w:r>
          </w:p>
        </w:tc>
        <w:tc>
          <w:tcPr>
            <w:tcW w:type="dxa" w:w="460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What remains</w:t>
            </w:r>
          </w:p>
        </w:tc>
      </w:tr>
      <w:tr>
        <w:trPr>
          <w:cantSplit/>
        </w:trPr>
        <w:tc>
          <w:tcPr>
            <w:tcW w:type="dxa" w:w="30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Local investigation workspace</w:t>
            </w:r>
          </w:p>
        </w:tc>
        <w:tc>
          <w:tcPr>
            <w:tcW w:type="dxa" w:w="24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Working</w:t>
            </w:r>
          </w:p>
        </w:tc>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Use npm run dev or npm run preview for the local demo</w:t>
            </w:r>
          </w:p>
        </w:tc>
      </w:tr>
      <w:tr>
        <w:trPr>
          <w:cantSplit/>
        </w:trPr>
        <w:tc>
          <w:tcPr>
            <w:tcW w:type="dxa" w:w="30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Graph analysis endpoint</w:t>
            </w:r>
          </w:p>
        </w:tc>
        <w:tc>
          <w:tcPr>
            <w:tcW w:type="dxa" w:w="24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Implemented</w:t>
            </w:r>
          </w:p>
        </w:tc>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Deploy api/analyze.ts through the Vercel project</w:t>
            </w:r>
          </w:p>
        </w:tc>
      </w:tr>
      <w:tr>
        <w:trPr>
          <w:cantSplit/>
        </w:trPr>
        <w:tc>
          <w:tcPr>
            <w:tcW w:type="dxa" w:w="30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CSV validation and JSON export</w:t>
            </w:r>
          </w:p>
        </w:tc>
        <w:tc>
          <w:tcPr>
            <w:tcW w:type="dxa" w:w="24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Working</w:t>
            </w:r>
          </w:p>
        </w:tc>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Add any desired organization-specific schema after the hackathon</w:t>
            </w:r>
          </w:p>
        </w:tc>
      </w:tr>
      <w:tr>
        <w:trPr>
          <w:cantSplit/>
        </w:trPr>
        <w:tc>
          <w:tcPr>
            <w:tcW w:type="dxa" w:w="30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Supabase Auth and private saves</w:t>
            </w:r>
          </w:p>
        </w:tc>
        <w:tc>
          <w:tcPr>
            <w:tcW w:type="dxa" w:w="24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Code and SQL prepared</w:t>
            </w:r>
          </w:p>
        </w:tc>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Configure environment values, run the SQL schema, and verify live reads and writes</w:t>
            </w:r>
          </w:p>
        </w:tc>
      </w:tr>
      <w:tr>
        <w:trPr>
          <w:cantSplit/>
        </w:trPr>
        <w:tc>
          <w:tcPr>
            <w:tcW w:type="dxa" w:w="3024"/>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Production fraud accuracy</w:t>
            </w:r>
          </w:p>
        </w:tc>
        <w:tc>
          <w:tcPr>
            <w:tcW w:type="dxa" w:w="24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Not measured</w:t>
            </w:r>
          </w:p>
        </w:tc>
        <w:tc>
          <w:tcPr>
            <w:tcW w:type="dxa" w:w="460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Calibrate against authorised labelled data and monitor false positives</w:t>
            </w:r>
          </w:p>
        </w:tc>
      </w:tr>
      <w:tr>
        <w:trPr>
          <w:cantSplit/>
        </w:trPr>
        <w:tc>
          <w:tcPr>
            <w:tcW w:type="dxa" w:w="3024"/>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Live banking or UPI integration</w:t>
            </w:r>
          </w:p>
        </w:tc>
        <w:tc>
          <w:tcPr>
            <w:tcW w:type="dxa" w:w="24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Not included</w:t>
            </w:r>
          </w:p>
        </w:tc>
        <w:tc>
          <w:tcPr>
            <w:tcW w:type="dxa" w:w="460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Add a reviewed connector and a data-access agreement before implementation</w:t>
            </w:r>
          </w:p>
        </w:tc>
      </w:tr>
    </w:tbl>
    <w:p>
      <w:pPr>
        <w:spacing w:after="40"/>
      </w:pPr>
    </w:p>
    <w:p>
      <w:pPr>
        <w:pStyle w:val="Heading1"/>
        <w:keepNext/>
      </w:pPr>
      <w:r>
        <w:t>Limitations and responsible use</w:t>
      </w:r>
    </w:p>
    <w:p>
      <w:pPr>
        <w:spacing w:after="120" w:before="0" w:line="259" w:lineRule="auto"/>
      </w:pPr>
      <w:r>
        <w:rPr>
          <w:rFonts w:ascii="Liberation Sans" w:hAnsi="Liberation Sans" w:cs="Liberation Sans"/>
          <w:b w:val="0"/>
          <w:i w:val="0"/>
          <w:color w:val="243447"/>
          <w:sz w:val="22"/>
        </w:rPr>
        <w:t>FINTRACE analyzes only the records supplied in the current session. It does not know account balances, beneficial ownership, off-platform activity, reversals, authorization status, or the reason for a transfer. Observed incoming and outgoing volumes can support a review, but they do not prove that the same rupees moved through every edge.</w:t>
      </w:r>
    </w:p>
    <w:p>
      <w:pPr>
        <w:spacing w:after="120" w:before="0" w:line="259" w:lineRule="auto"/>
      </w:pPr>
      <w:r>
        <w:rPr>
          <w:rFonts w:ascii="Liberation Sans" w:hAnsi="Liberation Sans" w:cs="Liberation Sans"/>
          <w:b w:val="0"/>
          <w:i w:val="0"/>
          <w:color w:val="243447"/>
          <w:sz w:val="22"/>
        </w:rPr>
        <w:t>The bundled examples are synthetic. A passing test matrix proves that the configured rules behave as designed. It does not establish production accuracy, fairness, or a fraud rate. The prototype never blocks, freezes, reports, or takes action on an account.</w:t>
      </w:r>
    </w:p>
    <w:p>
      <w:pPr>
        <w:pStyle w:val="Heading1"/>
        <w:keepNext/>
      </w:pPr>
      <w:r>
        <w:t>Roadmap</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8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Stage</w:t>
            </w:r>
          </w:p>
        </w:tc>
        <w:tc>
          <w:tcPr>
            <w:tcW w:type="dxa" w:w="5760"/>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Focus</w:t>
            </w:r>
          </w:p>
        </w:tc>
        <w:tc>
          <w:tcPr>
            <w:tcW w:type="dxa" w:w="223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Guardrail</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Current prototype</w:t>
            </w:r>
          </w:p>
        </w:tc>
        <w:tc>
          <w:tcPr>
            <w:tcW w:type="dxa" w:w="576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Synthetic and CSV intake, deterministic review score, bounded graph intelligence, evidence, replay, and JSON handoff</w:t>
            </w:r>
          </w:p>
        </w:tc>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Human review remains required</w:t>
            </w:r>
          </w:p>
        </w:tc>
      </w:tr>
      <w:tr>
        <w:trPr>
          <w:cantSplit/>
        </w:trPr>
        <w:tc>
          <w:tcPr>
            <w:tcW w:type="dxa" w:w="208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Next build</w:t>
            </w:r>
          </w:p>
        </w:tc>
        <w:tc>
          <w:tcPr>
            <w:tcW w:type="dxa" w:w="576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Private saved cases, organisation workspaces, audit history, redaction controls, and richer case notes</w:t>
            </w:r>
          </w:p>
        </w:tc>
        <w:tc>
          <w:tcPr>
            <w:tcW w:type="dxa" w:w="22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Owner-scoped access and retention policy</w:t>
            </w:r>
          </w:p>
        </w:tc>
      </w:tr>
      <w:tr>
        <w:trPr>
          <w:cantSplit/>
        </w:trPr>
        <w:tc>
          <w:tcPr>
            <w:tcW w:type="dxa" w:w="208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Production research</w:t>
            </w:r>
          </w:p>
        </w:tc>
        <w:tc>
          <w:tcPr>
            <w:tcW w:type="dxa" w:w="576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Calibrated models, labelled evaluation data, approved connectors, and analyst feedback loops</w:t>
            </w:r>
          </w:p>
        </w:tc>
        <w:tc>
          <w:tcPr>
            <w:tcW w:type="dxa" w:w="22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Measure precision, recall, drift, and false-positive cost before actioning</w:t>
            </w:r>
          </w:p>
        </w:tc>
      </w:tr>
    </w:tbl>
    <w:p>
      <w:pPr>
        <w:spacing w:after="40"/>
      </w:pPr>
    </w:p>
    <w:p>
      <w:pPr>
        <w:pStyle w:val="Heading1"/>
        <w:keepNext/>
      </w:pPr>
      <w:r>
        <w:t>Source references</w:t>
      </w:r>
    </w:p>
    <w:p>
      <w:pPr>
        <w:spacing w:after="0" w:before="0" w:line="259" w:lineRule="auto"/>
      </w:pPr>
      <w:r>
        <w:rPr>
          <w:rFonts w:ascii="Liberation Sans" w:hAnsi="Liberation Sans" w:cs="Liberation Sans"/>
          <w:b w:val="0"/>
          <w:i w:val="0"/>
          <w:color w:val="243447"/>
          <w:sz w:val="22"/>
        </w:rPr>
        <w:t>This brief is grounded in the implemented FINTRACE repository, the local browser verification outputs, the shared FINTRACE project specification, and the checked-in SQL schema. The main source files are listed above so a teammate or reviewer can trace each project claim to its implementation.</w:t>
      </w:r>
    </w:p>
    <w:p>
      <w:r>
        <w:br w:type="page"/>
      </w:r>
    </w:p>
    <w:p>
      <w:pPr>
        <w:pStyle w:val="Heading1"/>
        <w:keepNext/>
      </w:pPr>
      <w:r>
        <w:t>Team handoff</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151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Owner</w:t>
            </w:r>
          </w:p>
        </w:tc>
        <w:tc>
          <w:tcPr>
            <w:tcW w:type="dxa" w:w="496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Primary responsibility</w:t>
            </w:r>
          </w:p>
        </w:tc>
        <w:tc>
          <w:tcPr>
            <w:tcW w:type="dxa" w:w="3600"/>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Handoff evidence</w:t>
            </w:r>
          </w:p>
        </w:tc>
      </w:tr>
      <w:tr>
        <w:trPr>
          <w:cantSplit/>
        </w:trPr>
        <w:tc>
          <w:tcPr>
            <w:tcW w:type="dxa" w:w="151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Member 1</w:t>
            </w:r>
          </w:p>
        </w:tc>
        <w:tc>
          <w:tcPr>
            <w:tcW w:type="dxa" w:w="49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Engine, API boundary, detector rules, graph intelligence, accuracy matrix</w:t>
            </w:r>
          </w:p>
        </w:tc>
        <w:tc>
          <w:tcPr>
            <w:tcW w:type="dxa" w:w="360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 api/analyze.ts, src/config, src/tests</w:t>
            </w:r>
          </w:p>
        </w:tc>
      </w:tr>
      <w:tr>
        <w:trPr>
          <w:cantSplit/>
        </w:trPr>
        <w:tc>
          <w:tcPr>
            <w:tcW w:type="dxa" w:w="151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Member 2</w:t>
            </w:r>
          </w:p>
        </w:tc>
        <w:tc>
          <w:tcPr>
            <w:tcW w:type="dxa" w:w="496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UI composition, Cytoscape graph surface, auth states, evidence interactions, demo flow</w:t>
            </w:r>
          </w:p>
        </w:tc>
        <w:tc>
          <w:tcPr>
            <w:tcW w:type="dxa" w:w="3600"/>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src/components, src/auth, src/graph, src/App.tsx</w:t>
            </w:r>
          </w:p>
        </w:tc>
      </w:tr>
      <w:tr>
        <w:trPr>
          <w:cantSplit/>
        </w:trPr>
        <w:tc>
          <w:tcPr>
            <w:tcW w:type="dxa" w:w="151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Shared</w:t>
            </w:r>
          </w:p>
        </w:tc>
        <w:tc>
          <w:tcPr>
            <w:tcW w:type="dxa" w:w="496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Browser QA, demo data, pitch, SQL and Vercel configuration, final readback</w:t>
            </w:r>
          </w:p>
        </w:tc>
        <w:tc>
          <w:tcPr>
            <w:tcW w:type="dxa" w:w="3600"/>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README.md, supabase/schema.sql, output/playwright</w:t>
            </w:r>
          </w:p>
        </w:tc>
      </w:tr>
    </w:tbl>
    <w:p>
      <w:pPr>
        <w:spacing w:after="40"/>
      </w:pPr>
    </w:p>
    <w:p>
      <w:pPr>
        <w:pStyle w:val="Heading2"/>
        <w:keepNext/>
      </w:pPr>
      <w:r>
        <w:t>Pre-demo checklist</w:t>
      </w:r>
    </w:p>
    <w:p>
      <w:pPr>
        <w:pStyle w:val="ListBullet"/>
        <w:spacing w:after="80" w:line="252" w:lineRule="auto"/>
      </w:pPr>
      <w:r>
        <w:rPr>
          <w:rFonts w:ascii="Liberation Sans" w:hAnsi="Liberation Sans" w:cs="Liberation Sans"/>
          <w:b w:val="0"/>
          <w:i w:val="0"/>
          <w:color w:val="243447"/>
          <w:sz w:val="21"/>
        </w:rPr>
        <w:t>Run npm run typecheck, npm run lint, npm test -- --run, and npm run build.</w:t>
      </w:r>
    </w:p>
    <w:p>
      <w:pPr>
        <w:pStyle w:val="ListBullet"/>
        <w:spacing w:after="80" w:line="252" w:lineRule="auto"/>
      </w:pPr>
      <w:r>
        <w:rPr>
          <w:rFonts w:ascii="Liberation Sans" w:hAnsi="Liberation Sans" w:cs="Liberation Sans"/>
          <w:b w:val="0"/>
          <w:i w:val="0"/>
          <w:color w:val="243447"/>
          <w:sz w:val="21"/>
        </w:rPr>
        <w:t>Run npm run preview and verify the canonical demo path against the production build.</w:t>
      </w:r>
    </w:p>
    <w:p>
      <w:pPr>
        <w:pStyle w:val="ListBullet"/>
        <w:spacing w:after="80" w:line="252" w:lineRule="auto"/>
      </w:pPr>
      <w:r>
        <w:rPr>
          <w:rFonts w:ascii="Liberation Sans" w:hAnsi="Liberation Sans" w:cs="Liberation Sans"/>
          <w:b w:val="0"/>
          <w:i w:val="0"/>
          <w:color w:val="243447"/>
          <w:sz w:val="21"/>
        </w:rPr>
        <w:t>Keep a known-good Split and reconverge dataset available for the live explanation.</w:t>
      </w:r>
    </w:p>
    <w:p>
      <w:pPr>
        <w:pStyle w:val="ListBullet"/>
        <w:spacing w:after="80" w:line="252" w:lineRule="auto"/>
      </w:pPr>
      <w:r>
        <w:rPr>
          <w:rFonts w:ascii="Liberation Sans" w:hAnsi="Liberation Sans" w:cs="Liberation Sans"/>
          <w:b w:val="0"/>
          <w:i w:val="0"/>
          <w:color w:val="243447"/>
          <w:sz w:val="21"/>
        </w:rPr>
        <w:t>If using real signup or saves, verify the Supabase environment values and SQL schema before the event.</w:t>
      </w:r>
    </w:p>
    <w:p>
      <w:pPr>
        <w:pStyle w:val="ListBullet"/>
        <w:spacing w:after="80" w:line="252" w:lineRule="auto"/>
      </w:pPr>
      <w:r>
        <w:rPr>
          <w:rFonts w:ascii="Liberation Sans" w:hAnsi="Liberation Sans" w:cs="Liberation Sans"/>
          <w:b w:val="0"/>
          <w:i w:val="0"/>
          <w:color w:val="243447"/>
          <w:sz w:val="21"/>
        </w:rPr>
        <w:t>Keep the responsible-use language visible when presenting the 100 point score.</w:t>
      </w:r>
    </w:p>
    <w:p>
      <w:pPr>
        <w:pStyle w:val="ListBullet"/>
        <w:spacing w:after="80" w:line="252" w:lineRule="auto"/>
      </w:pPr>
      <w:r>
        <w:rPr>
          <w:rFonts w:ascii="Liberation Sans" w:hAnsi="Liberation Sans" w:cs="Liberation Sans"/>
          <w:b w:val="0"/>
          <w:i w:val="0"/>
          <w:color w:val="243447"/>
          <w:sz w:val="21"/>
        </w:rPr>
        <w:t>Do not claim that a synthetic passing matrix represents production fraud accuracy.</w:t>
      </w:r>
    </w:p>
    <w:p>
      <w:pPr>
        <w:pStyle w:val="Heading1"/>
        <w:keepNext/>
      </w:pPr>
      <w:r>
        <w:t>Repository map</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4032"/>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Path</w:t>
            </w:r>
          </w:p>
        </w:tc>
        <w:tc>
          <w:tcPr>
            <w:tcW w:type="dxa" w:w="6048"/>
            <w:vAlign w:val="center"/>
            <w:shd w:fill="1D4E7A"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0" w:lineRule="auto"/>
              <w:jc w:val="left"/>
            </w:pPr>
            <w:r>
              <w:rPr>
                <w:rFonts w:ascii="Liberation Sans" w:hAnsi="Liberation Sans" w:cs="Liberation Sans"/>
                <w:b/>
                <w:i w:val="0"/>
                <w:color w:val="FFFFFF"/>
                <w:sz w:val="18"/>
              </w:rPr>
              <w:t>Role</w:t>
            </w:r>
          </w:p>
        </w:tc>
      </w:tr>
      <w:tr>
        <w:trPr>
          <w:cantSplit/>
        </w:trPr>
        <w:tc>
          <w:tcPr>
            <w:tcW w:type="dxa" w:w="40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README.md</w:t>
            </w:r>
          </w:p>
        </w:tc>
        <w:tc>
          <w:tcPr>
            <w:tcW w:type="dxa" w:w="60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Quick start, demo path, detection contract, architecture, authentication, Vercel, and responsible-use notes</w:t>
            </w:r>
          </w:p>
        </w:tc>
      </w:tr>
      <w:tr>
        <w:trPr>
          <w:cantSplit/>
        </w:trPr>
        <w:tc>
          <w:tcPr>
            <w:tcW w:type="dxa" w:w="40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src/data/examples.ts</w:t>
            </w:r>
          </w:p>
        </w:tc>
        <w:tc>
          <w:tcPr>
            <w:tcW w:type="dxa" w:w="60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Three bundled synthetic datasets and CSV template</w:t>
            </w:r>
          </w:p>
        </w:tc>
      </w:tr>
      <w:tr>
        <w:trPr>
          <w:cantSplit/>
        </w:trPr>
        <w:tc>
          <w:tcPr>
            <w:tcW w:type="dxa" w:w="40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src/engine/analyze.ts</w:t>
            </w:r>
          </w:p>
        </w:tc>
        <w:tc>
          <w:tcPr>
            <w:tcW w:type="dxa" w:w="60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Core collection, forwarding, reconvergence, scoring, and representative case selection</w:t>
            </w:r>
          </w:p>
        </w:tc>
      </w:tr>
      <w:tr>
        <w:trPr>
          <w:cantSplit/>
        </w:trPr>
        <w:tc>
          <w:tcPr>
            <w:tcW w:type="dxa" w:w="40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src/engine/intelligentAnalyze.ts</w:t>
            </w:r>
          </w:p>
        </w:tc>
        <w:tc>
          <w:tcPr>
            <w:tcW w:type="dxa" w:w="60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Bounded chronological graph traversal and advanced intelligence signals</w:t>
            </w:r>
          </w:p>
        </w:tc>
      </w:tr>
      <w:tr>
        <w:trPr>
          <w:cantSplit/>
        </w:trPr>
        <w:tc>
          <w:tcPr>
            <w:tcW w:type="dxa" w:w="40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src/engine/validate.ts</w:t>
            </w:r>
          </w:p>
        </w:tc>
        <w:tc>
          <w:tcPr>
            <w:tcW w:type="dxa" w:w="60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CSV header, row, timestamp, amount, currency, duplicate, and self-transfer validation</w:t>
            </w:r>
          </w:p>
        </w:tc>
      </w:tr>
      <w:tr>
        <w:trPr>
          <w:cantSplit/>
        </w:trPr>
        <w:tc>
          <w:tcPr>
            <w:tcW w:type="dxa" w:w="40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api/analyze.ts</w:t>
            </w:r>
          </w:p>
        </w:tc>
        <w:tc>
          <w:tcPr>
            <w:tcW w:type="dxa" w:w="60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Stateless re-validating Vercel Function contract</w:t>
            </w:r>
          </w:p>
        </w:tc>
      </w:tr>
      <w:tr>
        <w:trPr>
          <w:cantSplit/>
        </w:trPr>
        <w:tc>
          <w:tcPr>
            <w:tcW w:type="dxa" w:w="40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src/export/buildCaseExport.ts</w:t>
            </w:r>
          </w:p>
        </w:tc>
        <w:tc>
          <w:tcPr>
            <w:tcW w:type="dxa" w:w="60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Versioned JSON case snapshot builder and download</w:t>
            </w:r>
          </w:p>
        </w:tc>
      </w:tr>
      <w:tr>
        <w:trPr>
          <w:cantSplit/>
        </w:trPr>
        <w:tc>
          <w:tcPr>
            <w:tcW w:type="dxa" w:w="40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src/auth and src/services</w:t>
            </w:r>
          </w:p>
        </w:tc>
        <w:tc>
          <w:tcPr>
            <w:tcW w:type="dxa" w:w="60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Supabase configuration, session mapping, and private investigation saves</w:t>
            </w:r>
          </w:p>
        </w:tc>
      </w:tr>
      <w:tr>
        <w:trPr>
          <w:cantSplit/>
        </w:trPr>
        <w:tc>
          <w:tcPr>
            <w:tcW w:type="dxa" w:w="4032"/>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supabase/schema.sql</w:t>
            </w:r>
          </w:p>
        </w:tc>
        <w:tc>
          <w:tcPr>
            <w:tcW w:type="dxa" w:w="6048"/>
            <w:vAlign w:val="center"/>
            <w:shd w:fill="FFFFFF"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Profiles, investigations, triggers, grants, and RLS policies</w:t>
            </w:r>
          </w:p>
        </w:tc>
      </w:tr>
      <w:tr>
        <w:trPr>
          <w:cantSplit/>
        </w:trPr>
        <w:tc>
          <w:tcPr>
            <w:tcW w:type="dxa" w:w="4032"/>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src/tests/accuracyScenarios.ts</w:t>
            </w:r>
          </w:p>
        </w:tc>
        <w:tc>
          <w:tcPr>
            <w:tcW w:type="dxa" w:w="6048"/>
            <w:vAlign w:val="center"/>
            <w:shd w:fill="F5F8FC" w:val="clea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100" w:type="dxa"/>
              <w:start w:w="120" w:type="dxa"/>
              <w:bottom w:w="100" w:type="dxa"/>
              <w:end w:w="120" w:type="dxa"/>
            </w:tcMar>
          </w:tcPr>
          <w:p>
            <w:pPr>
              <w:spacing w:after="0" w:line="245" w:lineRule="auto"/>
            </w:pPr>
            <w:r>
              <w:rPr>
                <w:rFonts w:ascii="Liberation Sans" w:hAnsi="Liberation Sans" w:cs="Liberation Sans"/>
                <w:b w:val="0"/>
                <w:i w:val="0"/>
                <w:color w:val="243447"/>
                <w:sz w:val="18"/>
              </w:rPr>
              <w:t>25 scenario expectations for threshold and graph behavior</w:t>
            </w:r>
          </w:p>
        </w:tc>
      </w:tr>
    </w:tbl>
    <w:p>
      <w:pPr>
        <w:spacing w:after="40"/>
      </w:pPr>
    </w:p>
    <w:sectPr w:rsidR="00FC693F" w:rsidRPr="0006063C" w:rsidSect="00034616">
      <w:headerReference w:type="default" r:id="rId9"/>
      <w:footerReference w:type="default" r:id="rId10"/>
      <w:pgSz w:w="12240" w:h="15840"/>
      <w:pgMar w:top="1037" w:right="1037" w:bottom="936" w:left="1037"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jc w:val="right"/>
    </w:pPr>
    <w:r>
      <w:rPr>
        <w:rFonts w:ascii="Liberation Sans" w:hAnsi="Liberation Sans" w:cs="Liberation Sans"/>
        <w:b w:val="0"/>
        <w:i w:val="0"/>
        <w:color w:val="637386"/>
        <w:sz w:val="17"/>
      </w:rPr>
      <w:t xml:space="preserve">FINTRACE Project Details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Liberation Sans" w:hAnsi="Liberation Sans" w:cs="Liberation Sans"/>
        <w:b/>
        <w:i w:val="0"/>
        <w:color w:val="637386"/>
        <w:sz w:val="17"/>
      </w:rPr>
      <w:t>FINTRACE  Technical project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Liberation Sans" w:hAnsi="Liberation Sans" w:cs="Liberation Sans"/>
      <w:b w:val="0"/>
      <w:i w:val="0"/>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Liberation Sans" w:hAnsi="Liberation Sans" w:cs="Liberation Sans"/>
      <w:b/>
      <w:bCs/>
      <w:i w:val="0"/>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Liberation Sans" w:hAnsi="Liberation Sans" w:cs="Liberation Sans"/>
      <w:b/>
      <w:bCs/>
      <w:i w:val="0"/>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ascii="Liberation Sans" w:hAnsi="Liberation Sans" w:cs="Liberation Sans"/>
      <w:b/>
      <w:i w:val="0"/>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ascii="Liberation Sans" w:hAnsi="Liberation Sans" w:cs="Liberation Sans"/>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s="Liberation Sans"/>
      <w:b w:val="0"/>
      <w:i w:val="0"/>
      <w:color w:val="24344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s="Liberation Sans"/>
      <w:b w:val="0"/>
      <w:i w:val="0"/>
      <w:color w:val="243447"/>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cs="Liberation Sans"/>
      <w:b w:val="0"/>
      <w:bCs/>
      <w:i/>
      <w:color w:val="63738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FINTRACE Project Details</dc:title>
  <dc:subject>Technical project brief and hackathon handoff</dc:subject>
  <dc:creator>FINTRACE Team</dc:creator>
  <cp:keywords>FINTRACE, fintech, fraud investigation, React, Vite, Vercel, Supabase</cp:keywords>
  <dc:description>generated by python-docx</dc:description>
  <cp:lastModifiedBy/>
  <cp:revision>1</cp:revision>
  <dcterms:created xsi:type="dcterms:W3CDTF">2013-12-23T23:15:00Z</dcterms:created>
  <dcterms:modified xsi:type="dcterms:W3CDTF">2013-12-23T23:15:00Z</dcterms:modified>
  <cp:category/>
</cp:coreProperties>
</file>