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D3557"/>
          <w:sz w:val="52"/>
          <w:szCs w:val="52"/>
        </w:rPr>
        <w:t xml:space="preserve">FinanceWise</w:t>
      </w:r>
    </w:p>
    <w:p>
      <w:pPr>
        <w:spacing w:after="80" w:before="0"/>
        <w:jc w:val="center"/>
      </w:pPr>
      <w:r>
        <w:rPr>
          <w:rFonts w:ascii="Arial" w:cs="Arial" w:eastAsia="Arial" w:hAnsi="Arial"/>
          <w:color w:val="2E6DA4"/>
          <w:sz w:val="30"/>
          <w:szCs w:val="30"/>
        </w:rPr>
        <w:t xml:space="preserve">Étude Comparative de Marché</w:t>
      </w:r>
    </w:p>
    <w:p>
      <w:pPr>
        <w:spacing w:after="320" w:before="0"/>
        <w:jc w:val="center"/>
      </w:pPr>
      <w:r>
        <w:rPr>
          <w:rFonts w:ascii="Arial" w:cs="Arial" w:eastAsia="Arial" w:hAnsi="Arial"/>
          <w:color w:val="888888"/>
          <w:sz w:val="22"/>
          <w:szCs w:val="22"/>
        </w:rPr>
        <w:t xml:space="preserve">Positionnement concurrentiel, risques et feuille de route</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D3557"/>
          <w:sz w:val="32"/>
          <w:szCs w:val="32"/>
        </w:rPr>
        <w:t xml:space="preserve">1. Contexte de marché</w:t>
      </w:r>
    </w:p>
    <w:p>
      <w:pPr>
        <w:spacing w:after="80" w:before="80"/>
      </w:pPr>
      <w:r>
        <w:rPr>
          <w:rFonts w:ascii="Arial" w:cs="Arial" w:eastAsia="Arial" w:hAnsi="Arial"/>
          <w:sz w:val="22"/>
          <w:szCs w:val="22"/>
        </w:rPr>
        <w:t xml:space="preserve">L'Afrique de l'Ouest connaît une transformation financière sans précédent portée par le mobile money. Wave compte 8 millions d'utilisateurs au Sénégal et génère 157 millions de dollars de revenus annuels. Orange Money est présent dans 17 pays africains. Dans ce contexte, FinanceWise se positionne comme une couche d'intelligence financière au-dessus de ces opérateurs — non pas pour les remplacer, mais pour donner aux utilisateurs une vision consolidée de leur argent.</w:t>
      </w:r>
    </w:p>
    <w:p>
      <w:pPr>
        <w:spacing w:after="80" w:before="80"/>
      </w:pPr>
      <w:r>
        <w:t xml:space="preserve"/>
      </w:r>
    </w:p>
    <w:p>
      <w:pPr>
        <w:spacing w:after="80" w:before="80"/>
      </w:pPr>
      <w:r>
        <w:rPr>
          <w:rFonts w:ascii="Arial" w:cs="Arial" w:eastAsia="Arial" w:hAnsi="Arial"/>
          <w:sz w:val="22"/>
          <w:szCs w:val="22"/>
        </w:rPr>
        <w:t xml:space="preserve">Le besoin est réel : aucune application ne permet aujourd'hui au Sénégalais moyen de voir en un coup d'œil son solde Wave, Orange Money, Wari et espèces, de suivre ses dépenses automatiquement et de gérer ses objectifs d'épargne — le tout en FCFA, avec les marchands locaux reconnus nativement.</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D3557"/>
          <w:sz w:val="32"/>
          <w:szCs w:val="32"/>
        </w:rPr>
        <w:t xml:space="preserve">2. Carte du marché concurrentiel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2"/>
        <w:gridCol w:w="1432"/>
        <w:gridCol w:w="1432"/>
        <w:gridCol w:w="1432"/>
        <w:gridCol w:w="1432"/>
      </w:tblGrid>
      <w:tr>
        <w:trPr>
          <w:tblHeader/>
        </w:trPr>
        <w:tc>
          <w:tcPr>
            <w:tcW w:type="dxa" w:w="22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Critère</w:t>
            </w:r>
          </w:p>
        </w:tc>
        <w:tc>
          <w:tcPr>
            <w:tcW w:type="dxa" w:w="1432"/>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Wave</w:t>
            </w:r>
          </w:p>
        </w:tc>
        <w:tc>
          <w:tcPr>
            <w:tcW w:type="dxa" w:w="1432"/>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Money Manager</w:t>
            </w:r>
          </w:p>
        </w:tc>
        <w:tc>
          <w:tcPr>
            <w:tcW w:type="dxa" w:w="1432"/>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Ma Poche (Togo)</w:t>
            </w:r>
          </w:p>
        </w:tc>
        <w:tc>
          <w:tcPr>
            <w:tcW w:type="dxa" w:w="1432"/>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Maman Tontine</w:t>
            </w:r>
          </w:p>
        </w:tc>
        <w:tc>
          <w:tcPr>
            <w:tcW w:type="dxa" w:w="1432"/>
            <w:tcBorders>
              <w:top w:val="single" w:color="CCCCCC" w:sz="1"/>
              <w:left w:val="single" w:color="CCCCCC" w:sz="1"/>
              <w:bottom w:val="single" w:color="CCCCCC" w:sz="1"/>
              <w:right w:val="single" w:color="CCCCCC" w:sz="1"/>
            </w:tcBorders>
            <w:shd w:fill="1D9E7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FinanceWise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pPr>
              <w:jc w:val="left"/>
            </w:pPr>
            <w:r>
              <w:rPr>
                <w:rFonts w:ascii="Arial" w:cs="Arial" w:eastAsia="Arial" w:hAnsi="Arial"/>
                <w:b w:val="false"/>
                <w:bCs w:val="false"/>
                <w:color w:val="333333"/>
                <w:sz w:val="18"/>
                <w:szCs w:val="18"/>
              </w:rPr>
              <w:t xml:space="preserve">Focalisé Sénégal</w:t>
            </w:r>
          </w:p>
        </w:tc>
        <w:tc>
          <w:tcPr>
            <w:tcW w:type="dxa" w:w="1432"/>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pPr>
              <w:jc w:val="center"/>
            </w:pPr>
            <w:r>
              <w:rPr>
                <w:rFonts w:ascii="Arial" w:cs="Arial" w:eastAsia="Arial" w:hAnsi="Arial"/>
                <w:b w:val="false"/>
                <w:bCs w:val="false"/>
                <w:color w:val="0F6E56"/>
                <w:sz w:val="18"/>
                <w:szCs w:val="18"/>
              </w:rPr>
              <w:t xml:space="preserve">✓</w:t>
            </w:r>
          </w:p>
        </w:tc>
        <w:tc>
          <w:tcPr>
            <w:tcW w:type="dxa" w:w="1432"/>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pPr>
              <w:jc w:val="center"/>
            </w:pPr>
            <w:r>
              <w:rPr>
                <w:rFonts w:ascii="Arial" w:cs="Arial" w:eastAsia="Arial" w:hAnsi="Arial"/>
                <w:b w:val="false"/>
                <w:bCs w:val="false"/>
                <w:color w:val="A32D2D"/>
                <w:sz w:val="18"/>
                <w:szCs w:val="18"/>
              </w:rPr>
              <w:t xml:space="preserve">✗</w:t>
            </w:r>
          </w:p>
        </w:tc>
        <w:tc>
          <w:tcPr>
            <w:tcW w:type="dxa" w:w="1432"/>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pPr>
              <w:jc w:val="center"/>
            </w:pPr>
            <w:r>
              <w:rPr>
                <w:rFonts w:ascii="Arial" w:cs="Arial" w:eastAsia="Arial" w:hAnsi="Arial"/>
                <w:b w:val="false"/>
                <w:bCs w:val="false"/>
                <w:color w:val="333333"/>
                <w:sz w:val="18"/>
                <w:szCs w:val="18"/>
              </w:rPr>
              <w:t xml:space="preserve">Partiel</w:t>
            </w:r>
          </w:p>
        </w:tc>
        <w:tc>
          <w:tcPr>
            <w:tcW w:type="dxa" w:w="1432"/>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pPr>
              <w:jc w:val="center"/>
            </w:pPr>
            <w:r>
              <w:rPr>
                <w:rFonts w:ascii="Arial" w:cs="Arial" w:eastAsia="Arial" w:hAnsi="Arial"/>
                <w:b w:val="false"/>
                <w:bCs w:val="false"/>
                <w:color w:val="0F6E56"/>
                <w:sz w:val="18"/>
                <w:szCs w:val="18"/>
              </w:rPr>
              <w:t xml:space="preserve">✓</w:t>
            </w:r>
          </w:p>
        </w:tc>
        <w:tc>
          <w:tcPr>
            <w:tcW w:type="dxa" w:w="1432"/>
            <w:tcBorders>
              <w:top w:val="single" w:color="CCCCCC" w:sz="1"/>
              <w:left w:val="single" w:color="CCCCCC" w:sz="1"/>
              <w:bottom w:val="single" w:color="CCCCCC" w:sz="1"/>
              <w:right w:val="single" w:color="CCCCCC" w:sz="1"/>
            </w:tcBorders>
            <w:shd w:fill="E8F5EE" w:val="clear"/>
            <w:tcMar>
              <w:top w:type="dxa" w:w="80"/>
              <w:left w:type="dxa" w:w="100"/>
              <w:bottom w:type="dxa" w:w="80"/>
              <w:right w:type="dxa" w:w="100"/>
            </w:tcMar>
          </w:tcPr>
          <w:p>
            <w:pPr>
              <w:jc w:val="center"/>
            </w:pPr>
            <w:r>
              <w:rPr>
                <w:rFonts w:ascii="Arial" w:cs="Arial" w:eastAsia="Arial" w:hAnsi="Arial"/>
                <w:b/>
                <w:bCs/>
                <w:color w:val="0F6E56"/>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333333"/>
                <w:sz w:val="18"/>
                <w:szCs w:val="18"/>
              </w:rPr>
              <w:t xml:space="preserve">Détection SMS auto</w:t>
            </w:r>
          </w:p>
        </w:tc>
        <w:tc>
          <w:tcPr>
            <w:tcW w:type="dxa" w:w="143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A32D2D"/>
                <w:sz w:val="18"/>
                <w:szCs w:val="18"/>
              </w:rPr>
              <w:t xml:space="preserve">✗</w:t>
            </w:r>
          </w:p>
        </w:tc>
        <w:tc>
          <w:tcPr>
            <w:tcW w:type="dxa" w:w="143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A32D2D"/>
                <w:sz w:val="18"/>
                <w:szCs w:val="18"/>
              </w:rPr>
              <w:t xml:space="preserve">✗</w:t>
            </w:r>
          </w:p>
        </w:tc>
        <w:tc>
          <w:tcPr>
            <w:tcW w:type="dxa" w:w="143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A32D2D"/>
                <w:sz w:val="18"/>
                <w:szCs w:val="18"/>
              </w:rPr>
              <w:t xml:space="preserve">✗</w:t>
            </w:r>
          </w:p>
        </w:tc>
        <w:tc>
          <w:tcPr>
            <w:tcW w:type="dxa" w:w="143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A32D2D"/>
                <w:sz w:val="18"/>
                <w:szCs w:val="18"/>
              </w:rPr>
              <w:t xml:space="preserve">✗</w:t>
            </w:r>
          </w:p>
        </w:tc>
        <w:tc>
          <w:tcPr>
            <w:tcW w:type="dxa" w:w="1432"/>
            <w:tcBorders>
              <w:top w:val="single" w:color="CCCCCC" w:sz="1"/>
              <w:left w:val="single" w:color="CCCCCC" w:sz="1"/>
              <w:bottom w:val="single" w:color="CCCCCC" w:sz="1"/>
              <w:right w:val="single" w:color="CCCCCC" w:sz="1"/>
            </w:tcBorders>
            <w:shd w:fill="F0FAF5" w:val="clear"/>
            <w:tcMar>
              <w:top w:type="dxa" w:w="80"/>
              <w:left w:type="dxa" w:w="100"/>
              <w:bottom w:type="dxa" w:w="80"/>
              <w:right w:type="dxa" w:w="100"/>
            </w:tcMar>
          </w:tcPr>
          <w:p>
            <w:pPr>
              <w:jc w:val="center"/>
            </w:pPr>
            <w:r>
              <w:rPr>
                <w:rFonts w:ascii="Arial" w:cs="Arial" w:eastAsia="Arial" w:hAnsi="Arial"/>
                <w:b/>
                <w:bCs/>
                <w:color w:val="0F6E56"/>
                <w:sz w:val="18"/>
                <w:szCs w:val="18"/>
              </w:rPr>
              <w:t xml:space="preserv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pPr>
              <w:jc w:val="left"/>
            </w:pPr>
            <w:r>
              <w:rPr>
                <w:rFonts w:ascii="Arial" w:cs="Arial" w:eastAsia="Arial" w:hAnsi="Arial"/>
                <w:b w:val="false"/>
                <w:bCs w:val="false"/>
                <w:color w:val="333333"/>
                <w:sz w:val="18"/>
                <w:szCs w:val="18"/>
              </w:rPr>
              <w:t xml:space="preserve">Multi-portefeuilles</w:t>
            </w:r>
          </w:p>
        </w:tc>
        <w:tc>
          <w:tcPr>
            <w:tcW w:type="dxa" w:w="1432"/>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pPr>
              <w:jc w:val="center"/>
            </w:pPr>
            <w:r>
              <w:rPr>
                <w:rFonts w:ascii="Arial" w:cs="Arial" w:eastAsia="Arial" w:hAnsi="Arial"/>
                <w:b w:val="false"/>
                <w:bCs w:val="false"/>
                <w:color w:val="333333"/>
                <w:sz w:val="18"/>
                <w:szCs w:val="18"/>
              </w:rPr>
              <w:t xml:space="preserve">Wave only</w:t>
            </w:r>
          </w:p>
        </w:tc>
        <w:tc>
          <w:tcPr>
            <w:tcW w:type="dxa" w:w="1432"/>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pPr>
              <w:jc w:val="center"/>
            </w:pPr>
            <w:r>
              <w:rPr>
                <w:rFonts w:ascii="Arial" w:cs="Arial" w:eastAsia="Arial" w:hAnsi="Arial"/>
                <w:b w:val="false"/>
                <w:bCs w:val="false"/>
                <w:color w:val="333333"/>
                <w:sz w:val="18"/>
                <w:szCs w:val="18"/>
              </w:rPr>
              <w:t xml:space="preserve">Partiel</w:t>
            </w:r>
          </w:p>
        </w:tc>
        <w:tc>
          <w:tcPr>
            <w:tcW w:type="dxa" w:w="1432"/>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pPr>
              <w:jc w:val="center"/>
            </w:pPr>
            <w:r>
              <w:rPr>
                <w:rFonts w:ascii="Arial" w:cs="Arial" w:eastAsia="Arial" w:hAnsi="Arial"/>
                <w:b w:val="false"/>
                <w:bCs w:val="false"/>
                <w:color w:val="A32D2D"/>
                <w:sz w:val="18"/>
                <w:szCs w:val="18"/>
              </w:rPr>
              <w:t xml:space="preserve">✗</w:t>
            </w:r>
          </w:p>
        </w:tc>
        <w:tc>
          <w:tcPr>
            <w:tcW w:type="dxa" w:w="1432"/>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pPr>
              <w:jc w:val="center"/>
            </w:pPr>
            <w:r>
              <w:rPr>
                <w:rFonts w:ascii="Arial" w:cs="Arial" w:eastAsia="Arial" w:hAnsi="Arial"/>
                <w:b w:val="false"/>
                <w:bCs w:val="false"/>
                <w:color w:val="A32D2D"/>
                <w:sz w:val="18"/>
                <w:szCs w:val="18"/>
              </w:rPr>
              <w:t xml:space="preserve">✗</w:t>
            </w:r>
          </w:p>
        </w:tc>
        <w:tc>
          <w:tcPr>
            <w:tcW w:type="dxa" w:w="1432"/>
            <w:tcBorders>
              <w:top w:val="single" w:color="CCCCCC" w:sz="1"/>
              <w:left w:val="single" w:color="CCCCCC" w:sz="1"/>
              <w:bottom w:val="single" w:color="CCCCCC" w:sz="1"/>
              <w:right w:val="single" w:color="CCCCCC" w:sz="1"/>
            </w:tcBorders>
            <w:shd w:fill="E8F5EE" w:val="clear"/>
            <w:tcMar>
              <w:top w:type="dxa" w:w="80"/>
              <w:left w:type="dxa" w:w="100"/>
              <w:bottom w:type="dxa" w:w="80"/>
              <w:right w:type="dxa" w:w="100"/>
            </w:tcMar>
          </w:tcPr>
          <w:p>
            <w:pPr>
              <w:jc w:val="center"/>
            </w:pPr>
            <w:r>
              <w:rPr>
                <w:rFonts w:ascii="Arial" w:cs="Arial" w:eastAsia="Arial" w:hAnsi="Arial"/>
                <w:b/>
                <w:bCs/>
                <w:color w:val="0F6E56"/>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333333"/>
                <w:sz w:val="18"/>
                <w:szCs w:val="18"/>
              </w:rPr>
              <w:t xml:space="preserve">Budget par catégorie</w:t>
            </w:r>
          </w:p>
        </w:tc>
        <w:tc>
          <w:tcPr>
            <w:tcW w:type="dxa" w:w="143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A32D2D"/>
                <w:sz w:val="18"/>
                <w:szCs w:val="18"/>
              </w:rPr>
              <w:t xml:space="preserve">✗</w:t>
            </w:r>
          </w:p>
        </w:tc>
        <w:tc>
          <w:tcPr>
            <w:tcW w:type="dxa" w:w="143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F6E56"/>
                <w:sz w:val="18"/>
                <w:szCs w:val="18"/>
              </w:rPr>
              <w:t xml:space="preserve">✓</w:t>
            </w:r>
          </w:p>
        </w:tc>
        <w:tc>
          <w:tcPr>
            <w:tcW w:type="dxa" w:w="143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F6E56"/>
                <w:sz w:val="18"/>
                <w:szCs w:val="18"/>
              </w:rPr>
              <w:t xml:space="preserve">✓</w:t>
            </w:r>
          </w:p>
        </w:tc>
        <w:tc>
          <w:tcPr>
            <w:tcW w:type="dxa" w:w="143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A32D2D"/>
                <w:sz w:val="18"/>
                <w:szCs w:val="18"/>
              </w:rPr>
              <w:t xml:space="preserve">✗</w:t>
            </w:r>
          </w:p>
        </w:tc>
        <w:tc>
          <w:tcPr>
            <w:tcW w:type="dxa" w:w="1432"/>
            <w:tcBorders>
              <w:top w:val="single" w:color="CCCCCC" w:sz="1"/>
              <w:left w:val="single" w:color="CCCCCC" w:sz="1"/>
              <w:bottom w:val="single" w:color="CCCCCC" w:sz="1"/>
              <w:right w:val="single" w:color="CCCCCC" w:sz="1"/>
            </w:tcBorders>
            <w:shd w:fill="F0FAF5" w:val="clear"/>
            <w:tcMar>
              <w:top w:type="dxa" w:w="80"/>
              <w:left w:type="dxa" w:w="100"/>
              <w:bottom w:type="dxa" w:w="80"/>
              <w:right w:type="dxa" w:w="100"/>
            </w:tcMar>
          </w:tcPr>
          <w:p>
            <w:pPr>
              <w:jc w:val="center"/>
            </w:pPr>
            <w:r>
              <w:rPr>
                <w:rFonts w:ascii="Arial" w:cs="Arial" w:eastAsia="Arial" w:hAnsi="Arial"/>
                <w:b/>
                <w:bCs/>
                <w:color w:val="0F6E56"/>
                <w:sz w:val="18"/>
                <w:szCs w:val="18"/>
              </w:rPr>
              <w:t xml:space="preserv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pPr>
              <w:jc w:val="left"/>
            </w:pPr>
            <w:r>
              <w:rPr>
                <w:rFonts w:ascii="Arial" w:cs="Arial" w:eastAsia="Arial" w:hAnsi="Arial"/>
                <w:b w:val="false"/>
                <w:bCs w:val="false"/>
                <w:color w:val="333333"/>
                <w:sz w:val="18"/>
                <w:szCs w:val="18"/>
              </w:rPr>
              <w:t xml:space="preserve">Gestion tontine</w:t>
            </w:r>
          </w:p>
        </w:tc>
        <w:tc>
          <w:tcPr>
            <w:tcW w:type="dxa" w:w="1432"/>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pPr>
              <w:jc w:val="center"/>
            </w:pPr>
            <w:r>
              <w:rPr>
                <w:rFonts w:ascii="Arial" w:cs="Arial" w:eastAsia="Arial" w:hAnsi="Arial"/>
                <w:b w:val="false"/>
                <w:bCs w:val="false"/>
                <w:color w:val="A32D2D"/>
                <w:sz w:val="18"/>
                <w:szCs w:val="18"/>
              </w:rPr>
              <w:t xml:space="preserve">✗</w:t>
            </w:r>
          </w:p>
        </w:tc>
        <w:tc>
          <w:tcPr>
            <w:tcW w:type="dxa" w:w="1432"/>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pPr>
              <w:jc w:val="center"/>
            </w:pPr>
            <w:r>
              <w:rPr>
                <w:rFonts w:ascii="Arial" w:cs="Arial" w:eastAsia="Arial" w:hAnsi="Arial"/>
                <w:b w:val="false"/>
                <w:bCs w:val="false"/>
                <w:color w:val="A32D2D"/>
                <w:sz w:val="18"/>
                <w:szCs w:val="18"/>
              </w:rPr>
              <w:t xml:space="preserve">✗</w:t>
            </w:r>
          </w:p>
        </w:tc>
        <w:tc>
          <w:tcPr>
            <w:tcW w:type="dxa" w:w="1432"/>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pPr>
              <w:jc w:val="center"/>
            </w:pPr>
            <w:r>
              <w:rPr>
                <w:rFonts w:ascii="Arial" w:cs="Arial" w:eastAsia="Arial" w:hAnsi="Arial"/>
                <w:b w:val="false"/>
                <w:bCs w:val="false"/>
                <w:color w:val="A32D2D"/>
                <w:sz w:val="18"/>
                <w:szCs w:val="18"/>
              </w:rPr>
              <w:t xml:space="preserve">✗</w:t>
            </w:r>
          </w:p>
        </w:tc>
        <w:tc>
          <w:tcPr>
            <w:tcW w:type="dxa" w:w="1432"/>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pPr>
              <w:jc w:val="center"/>
            </w:pPr>
            <w:r>
              <w:rPr>
                <w:rFonts w:ascii="Arial" w:cs="Arial" w:eastAsia="Arial" w:hAnsi="Arial"/>
                <w:b w:val="false"/>
                <w:bCs w:val="false"/>
                <w:color w:val="0F6E56"/>
                <w:sz w:val="18"/>
                <w:szCs w:val="18"/>
              </w:rPr>
              <w:t xml:space="preserve">✓</w:t>
            </w:r>
          </w:p>
        </w:tc>
        <w:tc>
          <w:tcPr>
            <w:tcW w:type="dxa" w:w="1432"/>
            <w:tcBorders>
              <w:top w:val="single" w:color="CCCCCC" w:sz="1"/>
              <w:left w:val="single" w:color="CCCCCC" w:sz="1"/>
              <w:bottom w:val="single" w:color="CCCCCC" w:sz="1"/>
              <w:right w:val="single" w:color="CCCCCC" w:sz="1"/>
            </w:tcBorders>
            <w:shd w:fill="E8F5EE" w:val="clear"/>
            <w:tcMar>
              <w:top w:type="dxa" w:w="80"/>
              <w:left w:type="dxa" w:w="100"/>
              <w:bottom w:type="dxa" w:w="80"/>
              <w:right w:type="dxa" w:w="100"/>
            </w:tcMar>
          </w:tcPr>
          <w:p>
            <w:pPr>
              <w:jc w:val="center"/>
            </w:pPr>
            <w:r>
              <w:rPr>
                <w:rFonts w:ascii="Arial" w:cs="Arial" w:eastAsia="Arial" w:hAnsi="Arial"/>
                <w:b/>
                <w:bCs/>
                <w:color w:val="A32D2D"/>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333333"/>
                <w:sz w:val="18"/>
                <w:szCs w:val="18"/>
              </w:rPr>
              <w:t xml:space="preserve">Mode offline</w:t>
            </w:r>
          </w:p>
        </w:tc>
        <w:tc>
          <w:tcPr>
            <w:tcW w:type="dxa" w:w="143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A32D2D"/>
                <w:sz w:val="18"/>
                <w:szCs w:val="18"/>
              </w:rPr>
              <w:t xml:space="preserve">✗</w:t>
            </w:r>
          </w:p>
        </w:tc>
        <w:tc>
          <w:tcPr>
            <w:tcW w:type="dxa" w:w="143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18"/>
                <w:szCs w:val="18"/>
              </w:rPr>
              <w:t xml:space="preserve">Partiel</w:t>
            </w:r>
          </w:p>
        </w:tc>
        <w:tc>
          <w:tcPr>
            <w:tcW w:type="dxa" w:w="143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A32D2D"/>
                <w:sz w:val="18"/>
                <w:szCs w:val="18"/>
              </w:rPr>
              <w:t xml:space="preserve">✗</w:t>
            </w:r>
          </w:p>
        </w:tc>
        <w:tc>
          <w:tcPr>
            <w:tcW w:type="dxa" w:w="143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A32D2D"/>
                <w:sz w:val="18"/>
                <w:szCs w:val="18"/>
              </w:rPr>
              <w:t xml:space="preserve">✗</w:t>
            </w:r>
          </w:p>
        </w:tc>
        <w:tc>
          <w:tcPr>
            <w:tcW w:type="dxa" w:w="1432"/>
            <w:tcBorders>
              <w:top w:val="single" w:color="CCCCCC" w:sz="1"/>
              <w:left w:val="single" w:color="CCCCCC" w:sz="1"/>
              <w:bottom w:val="single" w:color="CCCCCC" w:sz="1"/>
              <w:right w:val="single" w:color="CCCCCC" w:sz="1"/>
            </w:tcBorders>
            <w:shd w:fill="F0FAF5" w:val="clear"/>
            <w:tcMar>
              <w:top w:type="dxa" w:w="80"/>
              <w:left w:type="dxa" w:w="100"/>
              <w:bottom w:type="dxa" w:w="80"/>
              <w:right w:type="dxa" w:w="100"/>
            </w:tcMar>
          </w:tcPr>
          <w:p>
            <w:pPr>
              <w:jc w:val="center"/>
            </w:pPr>
            <w:r>
              <w:rPr>
                <w:rFonts w:ascii="Arial" w:cs="Arial" w:eastAsia="Arial" w:hAnsi="Arial"/>
                <w:b/>
                <w:bCs/>
                <w:color w:val="0F6E56"/>
                <w:sz w:val="18"/>
                <w:szCs w:val="18"/>
              </w:rPr>
              <w:t xml:space="preserv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pPr>
              <w:jc w:val="left"/>
            </w:pPr>
            <w:r>
              <w:rPr>
                <w:rFonts w:ascii="Arial" w:cs="Arial" w:eastAsia="Arial" w:hAnsi="Arial"/>
                <w:b w:val="false"/>
                <w:bCs w:val="false"/>
                <w:color w:val="333333"/>
                <w:sz w:val="18"/>
                <w:szCs w:val="18"/>
              </w:rPr>
              <w:t xml:space="preserve">Marchands locaux (Sénélec…)</w:t>
            </w:r>
          </w:p>
        </w:tc>
        <w:tc>
          <w:tcPr>
            <w:tcW w:type="dxa" w:w="1432"/>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pPr>
              <w:jc w:val="center"/>
            </w:pPr>
            <w:r>
              <w:rPr>
                <w:rFonts w:ascii="Arial" w:cs="Arial" w:eastAsia="Arial" w:hAnsi="Arial"/>
                <w:b w:val="false"/>
                <w:bCs w:val="false"/>
                <w:color w:val="A32D2D"/>
                <w:sz w:val="18"/>
                <w:szCs w:val="18"/>
              </w:rPr>
              <w:t xml:space="preserve">✗</w:t>
            </w:r>
          </w:p>
        </w:tc>
        <w:tc>
          <w:tcPr>
            <w:tcW w:type="dxa" w:w="1432"/>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pPr>
              <w:jc w:val="center"/>
            </w:pPr>
            <w:r>
              <w:rPr>
                <w:rFonts w:ascii="Arial" w:cs="Arial" w:eastAsia="Arial" w:hAnsi="Arial"/>
                <w:b w:val="false"/>
                <w:bCs w:val="false"/>
                <w:color w:val="A32D2D"/>
                <w:sz w:val="18"/>
                <w:szCs w:val="18"/>
              </w:rPr>
              <w:t xml:space="preserve">✗</w:t>
            </w:r>
          </w:p>
        </w:tc>
        <w:tc>
          <w:tcPr>
            <w:tcW w:type="dxa" w:w="1432"/>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pPr>
              <w:jc w:val="center"/>
            </w:pPr>
            <w:r>
              <w:rPr>
                <w:rFonts w:ascii="Arial" w:cs="Arial" w:eastAsia="Arial" w:hAnsi="Arial"/>
                <w:b w:val="false"/>
                <w:bCs w:val="false"/>
                <w:color w:val="A32D2D"/>
                <w:sz w:val="18"/>
                <w:szCs w:val="18"/>
              </w:rPr>
              <w:t xml:space="preserve">✗</w:t>
            </w:r>
          </w:p>
        </w:tc>
        <w:tc>
          <w:tcPr>
            <w:tcW w:type="dxa" w:w="1432"/>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pPr>
              <w:jc w:val="center"/>
            </w:pPr>
            <w:r>
              <w:rPr>
                <w:rFonts w:ascii="Arial" w:cs="Arial" w:eastAsia="Arial" w:hAnsi="Arial"/>
                <w:b w:val="false"/>
                <w:bCs w:val="false"/>
                <w:color w:val="A32D2D"/>
                <w:sz w:val="18"/>
                <w:szCs w:val="18"/>
              </w:rPr>
              <w:t xml:space="preserve">✗</w:t>
            </w:r>
          </w:p>
        </w:tc>
        <w:tc>
          <w:tcPr>
            <w:tcW w:type="dxa" w:w="1432"/>
            <w:tcBorders>
              <w:top w:val="single" w:color="CCCCCC" w:sz="1"/>
              <w:left w:val="single" w:color="CCCCCC" w:sz="1"/>
              <w:bottom w:val="single" w:color="CCCCCC" w:sz="1"/>
              <w:right w:val="single" w:color="CCCCCC" w:sz="1"/>
            </w:tcBorders>
            <w:shd w:fill="E8F5EE" w:val="clear"/>
            <w:tcMar>
              <w:top w:type="dxa" w:w="80"/>
              <w:left w:type="dxa" w:w="100"/>
              <w:bottom w:type="dxa" w:w="80"/>
              <w:right w:type="dxa" w:w="100"/>
            </w:tcMar>
          </w:tcPr>
          <w:p>
            <w:pPr>
              <w:jc w:val="center"/>
            </w:pPr>
            <w:r>
              <w:rPr>
                <w:rFonts w:ascii="Arial" w:cs="Arial" w:eastAsia="Arial" w:hAnsi="Arial"/>
                <w:b/>
                <w:bCs/>
                <w:color w:val="0F6E56"/>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333333"/>
                <w:sz w:val="18"/>
                <w:szCs w:val="18"/>
              </w:rPr>
              <w:t xml:space="preserve">Assistant IA</w:t>
            </w:r>
          </w:p>
        </w:tc>
        <w:tc>
          <w:tcPr>
            <w:tcW w:type="dxa" w:w="143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A32D2D"/>
                <w:sz w:val="18"/>
                <w:szCs w:val="18"/>
              </w:rPr>
              <w:t xml:space="preserve">✗</w:t>
            </w:r>
          </w:p>
        </w:tc>
        <w:tc>
          <w:tcPr>
            <w:tcW w:type="dxa" w:w="143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A32D2D"/>
                <w:sz w:val="18"/>
                <w:szCs w:val="18"/>
              </w:rPr>
              <w:t xml:space="preserve">✗</w:t>
            </w:r>
          </w:p>
        </w:tc>
        <w:tc>
          <w:tcPr>
            <w:tcW w:type="dxa" w:w="143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18"/>
                <w:szCs w:val="18"/>
              </w:rPr>
              <w:t xml:space="preserve">Mr Koffi</w:t>
            </w:r>
          </w:p>
        </w:tc>
        <w:tc>
          <w:tcPr>
            <w:tcW w:type="dxa" w:w="143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A32D2D"/>
                <w:sz w:val="18"/>
                <w:szCs w:val="18"/>
              </w:rPr>
              <w:t xml:space="preserve">✗</w:t>
            </w:r>
          </w:p>
        </w:tc>
        <w:tc>
          <w:tcPr>
            <w:tcW w:type="dxa" w:w="1432"/>
            <w:tcBorders>
              <w:top w:val="single" w:color="CCCCCC" w:sz="1"/>
              <w:left w:val="single" w:color="CCCCCC" w:sz="1"/>
              <w:bottom w:val="single" w:color="CCCCCC" w:sz="1"/>
              <w:right w:val="single" w:color="CCCCCC" w:sz="1"/>
            </w:tcBorders>
            <w:shd w:fill="F0FAF5" w:val="clear"/>
            <w:tcMar>
              <w:top w:type="dxa" w:w="80"/>
              <w:left w:type="dxa" w:w="100"/>
              <w:bottom w:type="dxa" w:w="80"/>
              <w:right w:type="dxa" w:w="100"/>
            </w:tcMar>
          </w:tcPr>
          <w:p>
            <w:pPr>
              <w:jc w:val="center"/>
            </w:pPr>
            <w:r>
              <w:rPr>
                <w:rFonts w:ascii="Arial" w:cs="Arial" w:eastAsia="Arial" w:hAnsi="Arial"/>
                <w:b/>
                <w:bCs/>
                <w:color w:val="A32D2D"/>
                <w:sz w:val="18"/>
                <w:szCs w:val="18"/>
              </w:rPr>
              <w:t xml:space="preserve">✗</w:t>
            </w:r>
          </w:p>
        </w:tc>
      </w:tr>
    </w:tbl>
    <w:p>
      <w:pPr>
        <w:spacing w:after="80" w:before="80"/>
      </w:pPr>
      <w:r>
        <w:t xml:space="preserve"/>
      </w:r>
    </w:p>
    <w:p>
      <w:pPr>
        <w:spacing w:after="80" w:before="80"/>
      </w:pPr>
      <w:r>
        <w:rPr>
          <w:rFonts w:ascii="Arial" w:cs="Arial" w:eastAsia="Arial" w:hAnsi="Arial"/>
          <w:i/>
          <w:iCs/>
          <w:color w:val="888888"/>
          <w:sz w:val="18"/>
          <w:szCs w:val="18"/>
        </w:rPr>
        <w:t xml:space="preserve">Légende : ✓ = oui   ✗ = non   Partiel = fonctionnalité limitée</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D3557"/>
          <w:sz w:val="32"/>
          <w:szCs w:val="32"/>
        </w:rPr>
        <w:t xml:space="preserve">3. Score de positionnement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Pertinence locale</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bCs/>
                <w:color w:val="1D9E75"/>
                <w:sz w:val="20"/>
                <w:szCs w:val="20"/>
              </w:rPr>
              <w:t xml:space="preserve">9/10</w:t>
            </w:r>
          </w:p>
        </w:tc>
      </w:tr>
      <w:tr>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Différenciation fonctionnelle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D9E75"/>
                <w:sz w:val="20"/>
                <w:szCs w:val="20"/>
              </w:rPr>
              <w:t xml:space="preserve">7.5/10</w:t>
            </w:r>
          </w:p>
        </w:tc>
      </w:tr>
      <w:tr>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Robustesse technique (SMS)</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bCs/>
                <w:color w:val="E24B4A"/>
                <w:sz w:val="20"/>
                <w:szCs w:val="20"/>
              </w:rPr>
              <w:t xml:space="preserve">4.5/10</w:t>
            </w:r>
          </w:p>
        </w:tc>
      </w:tr>
      <w:tr>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Barrière à l'entrée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24B4A"/>
                <w:sz w:val="20"/>
                <w:szCs w:val="20"/>
              </w:rPr>
              <w:t xml:space="preserve">4/10</w:t>
            </w:r>
          </w:p>
        </w:tc>
      </w:tr>
      <w:tr>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Potentiel d'expansion régionale</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bCs/>
                <w:color w:val="378ADD"/>
                <w:sz w:val="20"/>
                <w:szCs w:val="20"/>
              </w:rPr>
              <w:t xml:space="preserve">8/10</w:t>
            </w:r>
          </w:p>
        </w:tc>
      </w:tr>
      <w:tr>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Monétisation définie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24B4A"/>
                <w:sz w:val="20"/>
                <w:szCs w:val="20"/>
              </w:rPr>
              <w:t xml:space="preserve">2/10</w:t>
            </w:r>
          </w:p>
        </w:tc>
      </w:tr>
    </w:tbl>
    <w:p>
      <w:pPr>
        <w:spacing w:after="80" w:before="80"/>
      </w:pPr>
      <w:r>
        <w:t xml:space="preserve"/>
      </w:r>
    </w:p>
    <w:p>
      <w:pPr>
        <w:spacing w:after="80" w:before="80"/>
      </w:pPr>
      <w:r>
        <w:rPr>
          <w:rFonts w:ascii="Arial" w:cs="Arial" w:eastAsia="Arial" w:hAnsi="Arial"/>
          <w:sz w:val="22"/>
          <w:szCs w:val="22"/>
        </w:rPr>
        <w:t xml:space="preserve">FinanceWise présente un positionnement local exceptionnel et un potentiel d'expansion régionale fort. Les points faibles critiques sont la robustesse technique (dépendance aux permissions SMS), l'absence d'un modèle de monétisation défini, et une barrière à l'entrée faible face à un acteur comme Wave.</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D3557"/>
          <w:sz w:val="32"/>
          <w:szCs w:val="32"/>
        </w:rPr>
        <w:t xml:space="preserve">4. Risques critiques</w:t>
      </w:r>
    </w:p>
    <w:p>
      <w:pPr>
        <w:pStyle w:val="Heading2"/>
        <w:spacing w:after="120" w:before="240"/>
      </w:pPr>
      <w:r>
        <w:rPr>
          <w:rFonts w:ascii="Arial" w:cs="Arial" w:eastAsia="Arial" w:hAnsi="Arial"/>
          <w:b/>
          <w:bCs/>
          <w:color w:val="2E6DA4"/>
          <w:sz w:val="26"/>
          <w:szCs w:val="26"/>
        </w:rPr>
        <w:t xml:space="preserve">4.1 Permissions READ_SMS — risque structurel</w:t>
      </w:r>
    </w:p>
    <w:p>
      <w:pPr>
        <w:spacing w:after="80" w:before="80"/>
      </w:pPr>
      <w:r>
        <w:rPr>
          <w:rFonts w:ascii="Arial" w:cs="Arial" w:eastAsia="Arial" w:hAnsi="Arial"/>
          <w:sz w:val="22"/>
          <w:szCs w:val="22"/>
        </w:rPr>
        <w:t xml:space="preserve">La politique Google Play est formelle : seule l'application désignée comme gestionnaire SMS par défaut peut demander la permission READ_SMS. Aucun utilisateur n'acceptera de remplacer son app SMS par une application de budget. Ce point compromet la fonctionnalité centrale annoncée.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r>
              <w:rPr>
                <w:rFonts w:ascii="Arial" w:cs="Arial" w:eastAsia="Arial" w:hAnsi="Arial"/>
                <w:b/>
                <w:bCs/>
                <w:color w:val="1A1A1A"/>
                <w:sz w:val="22"/>
                <w:szCs w:val="22"/>
              </w:rPr>
              <w:t xml:space="preserve">Solution recommandée</w:t>
            </w:r>
          </w:p>
          <w:p>
            <w:pPr>
              <w:spacing w:after="0" w:before="40"/>
            </w:pPr>
            <w:r>
              <w:rPr>
                <w:rFonts w:ascii="Arial" w:cs="Arial" w:eastAsia="Arial" w:hAnsi="Arial"/>
                <w:color w:val="333333"/>
                <w:sz w:val="20"/>
                <w:szCs w:val="20"/>
              </w:rPr>
              <w:t xml:space="preserve">Remplacer READ_SMS par NotificationListenerService. Cette API permet d'écouter les notifications des apps Wave et Orange Money sans toucher aux SMS. Elle est légale, acceptée par Google Play, et moins intrusive pour l'utilisateur. La promesse de détection automatique reste tenue.</w:t>
            </w:r>
          </w:p>
        </w:tc>
      </w:tr>
    </w:tbl>
    <w:p>
      <w:pPr>
        <w:spacing w:after="80" w:before="80"/>
      </w:pPr>
      <w:r>
        <w:t xml:space="preserve"/>
      </w:r>
    </w:p>
    <w:p>
      <w:pPr>
        <w:pStyle w:val="Heading2"/>
        <w:spacing w:after="120" w:before="240"/>
      </w:pPr>
      <w:r>
        <w:rPr>
          <w:rFonts w:ascii="Arial" w:cs="Arial" w:eastAsia="Arial" w:hAnsi="Arial"/>
          <w:b/>
          <w:bCs/>
          <w:color w:val="2E6DA4"/>
          <w:sz w:val="26"/>
          <w:szCs w:val="26"/>
        </w:rPr>
        <w:t xml:space="preserve">4.2 Modèle économique absent</w:t>
      </w:r>
    </w:p>
    <w:p>
      <w:pPr>
        <w:spacing w:after="80" w:before="80"/>
      </w:pPr>
      <w:r>
        <w:rPr>
          <w:rFonts w:ascii="Arial" w:cs="Arial" w:eastAsia="Arial" w:hAnsi="Arial"/>
          <w:sz w:val="22"/>
          <w:szCs w:val="22"/>
        </w:rPr>
        <w:t xml:space="preserve">Le document mentionne un modèle "freemium" sans définir ce qui est payant. Sur un marché sensible au prix comme le Sénégal, une app perçue comme entièrement gratuite ne peut pas être valorisée ni pérennisée. Sans monétisation claire, il n'y a pas de business.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20"/>
              <w:left w:type="dxa" w:w="160"/>
              <w:bottom w:type="dxa" w:w="120"/>
              <w:right w:type="dxa" w:w="160"/>
            </w:tcMar>
          </w:tcPr>
          <w:p>
            <w:r>
              <w:rPr>
                <w:rFonts w:ascii="Arial" w:cs="Arial" w:eastAsia="Arial" w:hAnsi="Arial"/>
                <w:b/>
                <w:bCs/>
                <w:color w:val="1A1A1A"/>
                <w:sz w:val="22"/>
                <w:szCs w:val="22"/>
              </w:rPr>
              <w:t xml:space="preserve">Proposition concrète</w:t>
            </w:r>
          </w:p>
          <w:p>
            <w:pPr>
              <w:spacing w:after="0" w:before="40"/>
            </w:pPr>
            <w:r>
              <w:rPr>
                <w:rFonts w:ascii="Arial" w:cs="Arial" w:eastAsia="Arial" w:hAnsi="Arial"/>
                <w:color w:val="333333"/>
                <w:sz w:val="20"/>
                <w:szCs w:val="20"/>
              </w:rPr>
              <w:t xml:space="preserve">Gratuit : suivi de base, 2 portefeuilles, historique 3 mois. Premium (~500 FCFA/mois ou 5 000 FCFA/an) : portefeuilles illimités, budgets avancés, objectifs d'épargne, export de données, rappels de paiements. Essai gratuit 30 jours.</w:t>
            </w:r>
          </w:p>
        </w:tc>
      </w:tr>
    </w:tbl>
    <w:p>
      <w:pPr>
        <w:spacing w:after="80" w:before="80"/>
      </w:pPr>
      <w:r>
        <w:t xml:space="preserve"/>
      </w:r>
    </w:p>
    <w:p>
      <w:pPr>
        <w:pStyle w:val="Heading2"/>
        <w:spacing w:after="120" w:before="240"/>
      </w:pPr>
      <w:r>
        <w:rPr>
          <w:rFonts w:ascii="Arial" w:cs="Arial" w:eastAsia="Arial" w:hAnsi="Arial"/>
          <w:b/>
          <w:bCs/>
          <w:color w:val="2E6DA4"/>
          <w:sz w:val="26"/>
          <w:szCs w:val="26"/>
        </w:rPr>
        <w:t xml:space="preserve">4.3 Wave comme concurrent indirect</w:t>
      </w:r>
    </w:p>
    <w:p>
      <w:pPr>
        <w:spacing w:after="80" w:before="80"/>
      </w:pPr>
      <w:r>
        <w:rPr>
          <w:rFonts w:ascii="Arial" w:cs="Arial" w:eastAsia="Arial" w:hAnsi="Arial"/>
          <w:sz w:val="22"/>
          <w:szCs w:val="22"/>
        </w:rPr>
        <w:t xml:space="preserve">Avec 157M$/an de revenus et 8 millions d'utilisateurs au Sénégal, Wave peut ajouter un dashboard budget dans son application en quelques semaines. FinanceWise doit construire des fonctionnalités que Wave ne voudra structurellement pas développer, parce que Wave a intérêt à maintenir l'utilisateur dans son écosystème uniquement.</w:t>
      </w:r>
    </w:p>
    <w:p>
      <w:pPr>
        <w:pStyle w:val="Heading2"/>
        <w:spacing w:after="120" w:before="240"/>
      </w:pPr>
      <w:r>
        <w:rPr>
          <w:rFonts w:ascii="Arial" w:cs="Arial" w:eastAsia="Arial" w:hAnsi="Arial"/>
          <w:b/>
          <w:bCs/>
          <w:color w:val="2E6DA4"/>
          <w:sz w:val="26"/>
          <w:szCs w:val="26"/>
        </w:rPr>
        <w:t xml:space="preserve">4.4 Confiance et données SMS</w:t>
      </w:r>
    </w:p>
    <w:p>
      <w:pPr>
        <w:spacing w:after="80" w:before="80"/>
      </w:pPr>
      <w:r>
        <w:rPr>
          <w:rFonts w:ascii="Arial" w:cs="Arial" w:eastAsia="Arial" w:hAnsi="Arial"/>
          <w:sz w:val="22"/>
          <w:szCs w:val="22"/>
        </w:rPr>
        <w:t xml:space="preserve">Lire les SMS financiers d'un utilisateur est perçu comme intrusif. La conversion à l'onboarding sera faible sans un travail approfondi sur la transparence, les explications claires de ce qui est lu et pourquoi, et une politique de confidentialité rédigée en langage simple (pas uniquement en jargon légal).</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D3557"/>
          <w:sz w:val="32"/>
          <w:szCs w:val="32"/>
        </w:rPr>
        <w:t xml:space="preserve">5. Ce qui doit être repensé, ajouté ou revu</w:t>
      </w:r>
    </w:p>
    <w:p>
      <w:pPr>
        <w:pStyle w:val="Heading2"/>
        <w:spacing w:after="120" w:before="240"/>
      </w:pPr>
      <w:r>
        <w:rPr>
          <w:rFonts w:ascii="Arial" w:cs="Arial" w:eastAsia="Arial" w:hAnsi="Arial"/>
          <w:b/>
          <w:bCs/>
          <w:color w:val="2E6DA4"/>
          <w:sz w:val="26"/>
          <w:szCs w:val="26"/>
        </w:rPr>
        <w:t xml:space="preserve">5.1 À revoir — critique</w:t>
      </w:r>
    </w:p>
    <w:p>
      <w:pPr>
        <w:pStyle w:val="ListParagraph"/>
        <w:numPr>
          <w:ilvl w:val="0"/>
          <w:numId w:val="2"/>
        </w:numPr>
        <w:spacing w:after="60" w:before="60"/>
      </w:pPr>
      <w:r>
        <w:rPr>
          <w:rFonts w:ascii="Arial" w:cs="Arial" w:eastAsia="Arial" w:hAnsi="Arial"/>
          <w:sz w:val="22"/>
          <w:szCs w:val="22"/>
        </w:rPr>
        <w:t xml:space="preserve">Architecture SMS → NotificationListenerService</w:t>
      </w:r>
    </w:p>
    <w:p>
      <w:pPr>
        <w:pStyle w:val="ListParagraph"/>
        <w:numPr>
          <w:ilvl w:val="0"/>
          <w:numId w:val="2"/>
        </w:numPr>
        <w:spacing w:after="60" w:before="60"/>
      </w:pPr>
      <w:r>
        <w:rPr>
          <w:rFonts w:ascii="Arial" w:cs="Arial" w:eastAsia="Arial" w:hAnsi="Arial"/>
          <w:sz w:val="22"/>
          <w:szCs w:val="22"/>
        </w:rPr>
        <w:t xml:space="preserve">Définition précise du modèle freemium avant publication</w:t>
      </w:r>
    </w:p>
    <w:p>
      <w:pPr>
        <w:pStyle w:val="ListParagraph"/>
        <w:numPr>
          <w:ilvl w:val="0"/>
          <w:numId w:val="2"/>
        </w:numPr>
        <w:spacing w:after="60" w:before="60"/>
      </w:pPr>
      <w:r>
        <w:rPr>
          <w:rFonts w:ascii="Arial" w:cs="Arial" w:eastAsia="Arial" w:hAnsi="Arial"/>
          <w:sz w:val="22"/>
          <w:szCs w:val="22"/>
        </w:rPr>
        <w:t xml:space="preserve">Onboarding reconstruit autour du "wow moment" — l'utilisateur doit voir une transaction apparaître automatiquement dans les 90 premières secondes</w:t>
      </w:r>
    </w:p>
    <w:p>
      <w:pPr>
        <w:spacing w:after="80" w:before="80"/>
      </w:pPr>
      <w:r>
        <w:t xml:space="preserve"/>
      </w:r>
    </w:p>
    <w:p>
      <w:pPr>
        <w:pStyle w:val="Heading2"/>
        <w:spacing w:after="120" w:before="240"/>
      </w:pPr>
      <w:r>
        <w:rPr>
          <w:rFonts w:ascii="Arial" w:cs="Arial" w:eastAsia="Arial" w:hAnsi="Arial"/>
          <w:b/>
          <w:bCs/>
          <w:color w:val="2E6DA4"/>
          <w:sz w:val="26"/>
          <w:szCs w:val="26"/>
        </w:rPr>
        <w:t xml:space="preserve">5.2 À ajouter — différenciateurs forts</w:t>
      </w:r>
    </w:p>
    <w:p>
      <w:pPr>
        <w:pStyle w:val="ListParagraph"/>
        <w:numPr>
          <w:ilvl w:val="0"/>
          <w:numId w:val="2"/>
        </w:numPr>
        <w:spacing w:after="60" w:before="60"/>
      </w:pPr>
      <w:r>
        <w:rPr>
          <w:rFonts w:ascii="Arial" w:cs="Arial" w:eastAsia="Arial" w:hAnsi="Arial"/>
          <w:b/>
          <w:bCs/>
          <w:sz w:val="22"/>
          <w:szCs w:val="22"/>
        </w:rPr>
        <w:t xml:space="preserve">Tontine : </w:t>
      </w:r>
      <w:r>
        <w:rPr>
          <w:rFonts w:ascii="Arial" w:cs="Arial" w:eastAsia="Arial" w:hAnsi="Arial"/>
          <w:sz w:val="22"/>
          <w:szCs w:val="22"/>
        </w:rPr>
        <w:t xml:space="preserve">Module tontine intégré</w:t>
      </w:r>
    </w:p>
    <w:p>
      <w:pPr>
        <w:spacing w:after="80" w:before="80"/>
      </w:pPr>
      <w:r>
        <w:rPr>
          <w:rFonts w:ascii="Arial" w:cs="Arial" w:eastAsia="Arial" w:hAnsi="Arial"/>
          <w:sz w:val="22"/>
          <w:szCs w:val="22"/>
        </w:rPr>
        <w:t xml:space="preserve">        Créer/rejoindre une tontine, cotisations via Wave ou Orange Money, tour automatique, transparence totale. Aucun concurrent direct sur ce combo budget + tontine au Sénégal. Maman Tontine fait la tontine mais pas le budget global. C'est la fonctionnalité impossible à copier rapidement par Wave.</w:t>
      </w:r>
    </w:p>
    <w:p>
      <w:pPr>
        <w:spacing w:after="80" w:before="80"/>
      </w:pPr>
      <w:r>
        <w:t xml:space="preserve"/>
      </w:r>
    </w:p>
    <w:p>
      <w:pPr>
        <w:pStyle w:val="ListParagraph"/>
        <w:numPr>
          <w:ilvl w:val="0"/>
          <w:numId w:val="2"/>
        </w:numPr>
        <w:spacing w:after="60" w:before="60"/>
      </w:pPr>
      <w:r>
        <w:rPr>
          <w:rFonts w:ascii="Arial" w:cs="Arial" w:eastAsia="Arial" w:hAnsi="Arial"/>
          <w:b/>
          <w:bCs/>
          <w:sz w:val="22"/>
          <w:szCs w:val="22"/>
        </w:rPr>
        <w:t xml:space="preserve">IA : </w:t>
      </w:r>
      <w:r>
        <w:rPr>
          <w:rFonts w:ascii="Arial" w:cs="Arial" w:eastAsia="Arial" w:hAnsi="Arial"/>
          <w:sz w:val="22"/>
          <w:szCs w:val="22"/>
        </w:rPr>
        <w:t xml:space="preserve">Assistant IA conversationnel</w:t>
      </w:r>
    </w:p>
    <w:p>
      <w:pPr>
        <w:spacing w:after="80" w:before="80"/>
      </w:pPr>
      <w:r>
        <w:rPr>
          <w:rFonts w:ascii="Arial" w:cs="Arial" w:eastAsia="Arial" w:hAnsi="Arial"/>
          <w:sz w:val="22"/>
          <w:szCs w:val="22"/>
        </w:rPr>
        <w:t xml:space="preserve">        Ma Poche (Togo) a déjà un assistant "Mr Koffi". Un assistant qui analyse les habitudes et dit "tu dépenses 40% de plus en transport ce mois" représenterait un écart technologique concret par rapport aux concurrents régionaux.</w:t>
      </w:r>
    </w:p>
    <w:p>
      <w:pPr>
        <w:spacing w:after="80" w:before="80"/>
      </w:pPr>
      <w:r>
        <w:t xml:space="preserve"/>
      </w:r>
    </w:p>
    <w:p>
      <w:pPr>
        <w:pStyle w:val="ListParagraph"/>
        <w:numPr>
          <w:ilvl w:val="0"/>
          <w:numId w:val="2"/>
        </w:numPr>
        <w:spacing w:after="60" w:before="60"/>
      </w:pPr>
      <w:r>
        <w:rPr>
          <w:rFonts w:ascii="Arial" w:cs="Arial" w:eastAsia="Arial" w:hAnsi="Arial"/>
          <w:b/>
          <w:bCs/>
          <w:sz w:val="22"/>
          <w:szCs w:val="22"/>
        </w:rPr>
        <w:t xml:space="preserve">Expansion : </w:t>
      </w:r>
      <w:r>
        <w:rPr>
          <w:rFonts w:ascii="Arial" w:cs="Arial" w:eastAsia="Arial" w:hAnsi="Arial"/>
          <w:sz w:val="22"/>
          <w:szCs w:val="22"/>
        </w:rPr>
        <w:t xml:space="preserve">Expansion régionale dès la v1 — Côte d'Ivoire, Mali, Burkina Faso</w:t>
      </w:r>
    </w:p>
    <w:p>
      <w:pPr>
        <w:spacing w:after="80" w:before="80"/>
      </w:pPr>
      <w:r>
        <w:rPr>
          <w:rFonts w:ascii="Arial" w:cs="Arial" w:eastAsia="Arial" w:hAnsi="Arial"/>
          <w:sz w:val="22"/>
          <w:szCs w:val="22"/>
        </w:rPr>
        <w:t xml:space="preserve">        Le marché sénégalais seul ne justifie pas les coûts de développement à long terme. Ces trois pays utilisent les mêmes opérateurs (Wave, Orange Money), le même FCFA, et partagent des habitudes financières similaires. Supporter la CIV dès le lancement multiplie l'audience potentielle par 3 sans refonte majeure.</w:t>
      </w:r>
    </w:p>
    <w:p>
      <w:pPr>
        <w:spacing w:after="80" w:before="80"/>
      </w:pPr>
      <w:r>
        <w:t xml:space="preserve"/>
      </w:r>
    </w:p>
    <w:p>
      <w:pPr>
        <w:pStyle w:val="Heading2"/>
        <w:spacing w:after="120" w:before="240"/>
      </w:pPr>
      <w:r>
        <w:rPr>
          <w:rFonts w:ascii="Arial" w:cs="Arial" w:eastAsia="Arial" w:hAnsi="Arial"/>
          <w:b/>
          <w:bCs/>
          <w:color w:val="2E6DA4"/>
          <w:sz w:val="26"/>
          <w:szCs w:val="26"/>
        </w:rPr>
        <w:t xml:space="preserve">5.3 À conserver absolument</w:t>
      </w:r>
    </w:p>
    <w:p>
      <w:pPr>
        <w:pStyle w:val="ListParagraph"/>
        <w:numPr>
          <w:ilvl w:val="0"/>
          <w:numId w:val="2"/>
        </w:numPr>
        <w:spacing w:after="60" w:before="60"/>
      </w:pPr>
      <w:r>
        <w:rPr>
          <w:rFonts w:ascii="Arial" w:cs="Arial" w:eastAsia="Arial" w:hAnsi="Arial"/>
          <w:sz w:val="22"/>
          <w:szCs w:val="22"/>
        </w:rPr>
        <w:t xml:space="preserve">Marchands locaux (Sénélec, SDE, Proximo, Jumia) — c'est du travail de terrain que les concurrents globaux ne feront jamais. À enrichir continuellement.</w:t>
      </w:r>
    </w:p>
    <w:p>
      <w:pPr>
        <w:pStyle w:val="ListParagraph"/>
        <w:numPr>
          <w:ilvl w:val="0"/>
          <w:numId w:val="2"/>
        </w:numPr>
        <w:spacing w:after="60" w:before="60"/>
      </w:pPr>
      <w:r>
        <w:rPr>
          <w:rFonts w:ascii="Arial" w:cs="Arial" w:eastAsia="Arial" w:hAnsi="Arial"/>
          <w:sz w:val="22"/>
          <w:szCs w:val="22"/>
        </w:rPr>
        <w:t xml:space="preserve">Multi-portefeuilles incluant Free Money et Wari — aucun concurrent ne couvre ce spectre complet. Ce détail génère du bouche-à-oreille.</w:t>
      </w:r>
    </w:p>
    <w:p>
      <w:pPr>
        <w:pStyle w:val="ListParagraph"/>
        <w:numPr>
          <w:ilvl w:val="0"/>
          <w:numId w:val="2"/>
        </w:numPr>
        <w:spacing w:after="60" w:before="60"/>
      </w:pPr>
      <w:r>
        <w:rPr>
          <w:rFonts w:ascii="Arial" w:cs="Arial" w:eastAsia="Arial" w:hAnsi="Arial"/>
          <w:sz w:val="22"/>
          <w:szCs w:val="22"/>
        </w:rPr>
        <w:t xml:space="preserve">Mode offline réel — dans un contexte de connectivité instable, c'est un argument concret du quotidien que la plupart des concurrents n'offrent pas.</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D3557"/>
          <w:sz w:val="32"/>
          <w:szCs w:val="32"/>
        </w:rPr>
        <w:t xml:space="preserve">6. Feuille de route pour devenir la référence</w:t>
      </w:r>
    </w:p>
    <w:p>
      <w:pPr>
        <w:spacing w:after="80" w:before="80"/>
      </w:pPr>
      <w:r>
        <w:t xml:space="preserve"/>
      </w:r>
    </w:p>
    <w:p>
      <w:pPr>
        <w:spacing w:after="80" w:before="80"/>
      </w:pPr>
      <w:r>
        <w:rPr>
          <w:rFonts w:ascii="Arial" w:cs="Arial" w:eastAsia="Arial" w:hAnsi="Arial"/>
          <w:b/>
          <w:bCs/>
          <w:color w:val="1D3557"/>
          <w:sz w:val="22"/>
          <w:szCs w:val="22"/>
        </w:rPr>
        <w:t xml:space="preserve">V1 — Fondations solides (avant publication)</w:t>
      </w:r>
    </w:p>
    <w:p>
      <w:pPr>
        <w:pStyle w:val="ListParagraph"/>
        <w:numPr>
          <w:ilvl w:val="0"/>
          <w:numId w:val="3"/>
        </w:numPr>
        <w:spacing w:after="60" w:before="60"/>
      </w:pPr>
      <w:r>
        <w:rPr>
          <w:rFonts w:ascii="Arial" w:cs="Arial" w:eastAsia="Arial" w:hAnsi="Arial"/>
          <w:sz w:val="22"/>
          <w:szCs w:val="22"/>
        </w:rPr>
        <w:t xml:space="preserve">Remplacer READ_SMS par NotificationListenerService — résoudre le problème technique central avant tout le reste.</w:t>
      </w:r>
    </w:p>
    <w:p>
      <w:pPr>
        <w:pStyle w:val="ListParagraph"/>
        <w:numPr>
          <w:ilvl w:val="0"/>
          <w:numId w:val="3"/>
        </w:numPr>
        <w:spacing w:after="60" w:before="60"/>
      </w:pPr>
      <w:r>
        <w:rPr>
          <w:rFonts w:ascii="Arial" w:cs="Arial" w:eastAsia="Arial" w:hAnsi="Arial"/>
          <w:sz w:val="22"/>
          <w:szCs w:val="22"/>
        </w:rPr>
        <w:t xml:space="preserve">Définir et implémenter le modèle freemium — 500 FCFA/mois avec essai 30 jours gratuit.</w:t>
      </w:r>
    </w:p>
    <w:p>
      <w:pPr>
        <w:pStyle w:val="ListParagraph"/>
        <w:numPr>
          <w:ilvl w:val="0"/>
          <w:numId w:val="3"/>
        </w:numPr>
        <w:spacing w:after="60" w:before="60"/>
      </w:pPr>
      <w:r>
        <w:rPr>
          <w:rFonts w:ascii="Arial" w:cs="Arial" w:eastAsia="Arial" w:hAnsi="Arial"/>
          <w:sz w:val="22"/>
          <w:szCs w:val="22"/>
        </w:rPr>
        <w:t xml:space="preserve">Repenser l'onboarding — la première transaction doit apparaître automatiquement en moins de 90 secondes.</w:t>
      </w:r>
    </w:p>
    <w:p>
      <w:pPr>
        <w:pStyle w:val="ListParagraph"/>
        <w:numPr>
          <w:ilvl w:val="0"/>
          <w:numId w:val="3"/>
        </w:numPr>
        <w:spacing w:after="60" w:before="60"/>
      </w:pPr>
      <w:r>
        <w:rPr>
          <w:rFonts w:ascii="Arial" w:cs="Arial" w:eastAsia="Arial" w:hAnsi="Arial"/>
          <w:sz w:val="22"/>
          <w:szCs w:val="22"/>
        </w:rPr>
        <w:t xml:space="preserve">Étendre à la Côte d'Ivoire — même codebase, mêmes opérateurs, marché 3x plus grand.</w:t>
      </w:r>
    </w:p>
    <w:p>
      <w:pPr>
        <w:spacing w:after="80" w:before="80"/>
      </w:pPr>
      <w:r>
        <w:t xml:space="preserve"/>
      </w:r>
    </w:p>
    <w:p>
      <w:pPr>
        <w:spacing w:after="80" w:before="80"/>
      </w:pPr>
      <w:r>
        <w:rPr>
          <w:rFonts w:ascii="Arial" w:cs="Arial" w:eastAsia="Arial" w:hAnsi="Arial"/>
          <w:b/>
          <w:bCs/>
          <w:color w:val="1D3557"/>
          <w:sz w:val="22"/>
          <w:szCs w:val="22"/>
        </w:rPr>
        <w:t xml:space="preserve">V2 — Différenciation durable</w:t>
      </w:r>
    </w:p>
    <w:p>
      <w:pPr>
        <w:pStyle w:val="ListParagraph"/>
        <w:numPr>
          <w:ilvl w:val="0"/>
          <w:numId w:val="3"/>
        </w:numPr>
        <w:spacing w:after="60" w:before="60"/>
      </w:pPr>
      <w:r>
        <w:rPr>
          <w:rFonts w:ascii="Arial" w:cs="Arial" w:eastAsia="Arial" w:hAnsi="Arial"/>
          <w:sz w:val="22"/>
          <w:szCs w:val="22"/>
        </w:rPr>
        <w:t xml:space="preserve">Ajouter le module tontine — le différenciateur impossible à copier rapidement par Wave.</w:t>
      </w:r>
    </w:p>
    <w:p>
      <w:pPr>
        <w:pStyle w:val="ListParagraph"/>
        <w:numPr>
          <w:ilvl w:val="0"/>
          <w:numId w:val="3"/>
        </w:numPr>
        <w:spacing w:after="60" w:before="60"/>
      </w:pPr>
      <w:r>
        <w:rPr>
          <w:rFonts w:ascii="Arial" w:cs="Arial" w:eastAsia="Arial" w:hAnsi="Arial"/>
          <w:sz w:val="22"/>
          <w:szCs w:val="22"/>
        </w:rPr>
        <w:t xml:space="preserve">Développer un assistant IA conversationnel — analyse comportementale et recommandations personnalisées.</w:t>
      </w:r>
    </w:p>
    <w:p>
      <w:pPr>
        <w:pStyle w:val="ListParagraph"/>
        <w:numPr>
          <w:ilvl w:val="0"/>
          <w:numId w:val="3"/>
        </w:numPr>
        <w:spacing w:after="60" w:before="60"/>
      </w:pPr>
      <w:r>
        <w:rPr>
          <w:rFonts w:ascii="Arial" w:cs="Arial" w:eastAsia="Arial" w:hAnsi="Arial"/>
          <w:sz w:val="22"/>
          <w:szCs w:val="22"/>
        </w:rPr>
        <w:t xml:space="preserve">Enrichir continuellement la base de marchands locaux pour tous les pays couverts.</w:t>
      </w:r>
    </w:p>
    <w:p>
      <w:pPr>
        <w:spacing w:after="80" w:before="80"/>
      </w:pPr>
      <w:r>
        <w:t xml:space="preserve"/>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D3557"/>
          <w:sz w:val="32"/>
          <w:szCs w:val="32"/>
        </w:rPr>
        <w:t xml:space="preserve">7. Verdict final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20"/>
              <w:left w:type="dxa" w:w="160"/>
              <w:bottom w:type="dxa" w:w="120"/>
              <w:right w:type="dxa" w:w="160"/>
            </w:tcMar>
          </w:tcPr>
          <w:p>
            <w:r>
              <w:rPr>
                <w:rFonts w:ascii="Arial" w:cs="Arial" w:eastAsia="Arial" w:hAnsi="Arial"/>
                <w:b/>
                <w:bCs/>
                <w:color w:val="1A1A1A"/>
                <w:sz w:val="22"/>
                <w:szCs w:val="22"/>
              </w:rPr>
              <w:t xml:space="preserve">Ce que FinanceWise peut devenir</w:t>
            </w:r>
          </w:p>
          <w:p>
            <w:pPr>
              <w:spacing w:after="0" w:before="40"/>
            </w:pPr>
            <w:r>
              <w:rPr>
                <w:rFonts w:ascii="Arial" w:cs="Arial" w:eastAsia="Arial" w:hAnsi="Arial"/>
                <w:color w:val="333333"/>
                <w:sz w:val="20"/>
                <w:szCs w:val="20"/>
              </w:rPr>
              <w:t xml:space="preserve">FinanceWise a les ingrédients d'une référence régionale : ancrage local exceptionnel, couverture multi-opérateurs unique, fonctionnalités pertinentes. La différence entre une bonne idée et une référence se jouera sur deux points précis : la fiabilité de la détection automatique (via NotificationListenerService, pas SMS) et la qualité des 90 premières secondes d'utilisation. Si l'onboarding convainc et que la première transaction apparaît automatiquement, l'utilisateur est gagné. Sinon, il désinstalle.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r>
              <w:rPr>
                <w:rFonts w:ascii="Arial" w:cs="Arial" w:eastAsia="Arial" w:hAnsi="Arial"/>
                <w:b/>
                <w:bCs/>
                <w:color w:val="1A1A1A"/>
                <w:sz w:val="22"/>
                <w:szCs w:val="22"/>
              </w:rPr>
              <w:t xml:space="preserve">Ce qui reste à construire</w:t>
            </w:r>
          </w:p>
          <w:p>
            <w:pPr>
              <w:spacing w:after="0" w:before="40"/>
            </w:pPr>
            <w:r>
              <w:rPr>
                <w:rFonts w:ascii="Arial" w:cs="Arial" w:eastAsia="Arial" w:hAnsi="Arial"/>
                <w:color w:val="333333"/>
                <w:sz w:val="20"/>
                <w:szCs w:val="20"/>
              </w:rPr>
              <w:t xml:space="preserve">La tontine intégrée est le fossé concurrentiel que Wave ne creusera jamais. Un modèle freemium clair est la condition de survie économique. L'expansion régionale immédiate est la stratégie défensive contre une copie locale. Ces trois éléments transforment FinanceWise d'une bonne app sénégalaise en une potentielle référence de la finance personnelle en Afrique de l'Ouest francophone.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FinanceWise — Étude Comparative de Marché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D35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2026-05-23T03:21:47.425Z</dcterms:created>
  <dcterms:modified xsi:type="dcterms:W3CDTF">2026-05-23T03:21:47.426Z</dcterms:modified>
</cp:coreProperties>
</file>

<file path=docProps/custom.xml><?xml version="1.0" encoding="utf-8"?>
<Properties xmlns="http://schemas.openxmlformats.org/officeDocument/2006/custom-properties" xmlns:vt="http://schemas.openxmlformats.org/officeDocument/2006/docPropsVTypes"/>
</file>