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7A721DD" w:rsidR="004862B1" w:rsidRPr="00265527" w:rsidRDefault="2C79575D" w:rsidP="006F2D8F">
      <w:pPr>
        <w:pStyle w:val="Title"/>
        <w:spacing w:after="240" w:line="259" w:lineRule="auto"/>
        <w:contextualSpacing w:val="0"/>
        <w:rPr>
          <w:rFonts w:asciiTheme="minorHAnsi" w:eastAsiaTheme="minorEastAsia" w:hAnsiTheme="minorHAnsi" w:cstheme="minorBidi"/>
          <w:sz w:val="40"/>
          <w:szCs w:val="40"/>
          <w:lang w:val="en-CA"/>
        </w:rPr>
      </w:pPr>
      <w:r w:rsidRPr="00265527">
        <w:rPr>
          <w:rFonts w:asciiTheme="minorHAnsi" w:eastAsiaTheme="minorEastAsia" w:hAnsiTheme="minorHAnsi" w:cstheme="minorBidi"/>
          <w:sz w:val="40"/>
          <w:szCs w:val="40"/>
          <w:lang w:val="en-CA"/>
        </w:rPr>
        <w:t xml:space="preserve">Guidance on </w:t>
      </w:r>
      <w:r w:rsidR="00902F19" w:rsidRPr="00265527">
        <w:rPr>
          <w:rFonts w:asciiTheme="minorHAnsi" w:eastAsiaTheme="minorEastAsia" w:hAnsiTheme="minorHAnsi" w:cstheme="minorBidi"/>
          <w:sz w:val="40"/>
          <w:szCs w:val="40"/>
          <w:lang w:val="en-CA"/>
        </w:rPr>
        <w:t>e</w:t>
      </w:r>
      <w:r w:rsidRPr="00265527">
        <w:rPr>
          <w:rFonts w:asciiTheme="minorHAnsi" w:eastAsiaTheme="minorEastAsia" w:hAnsiTheme="minorHAnsi" w:cstheme="minorBidi"/>
          <w:sz w:val="40"/>
          <w:szCs w:val="40"/>
          <w:lang w:val="en-CA"/>
        </w:rPr>
        <w:t xml:space="preserve">nabling </w:t>
      </w:r>
      <w:r w:rsidR="00902F19" w:rsidRPr="00265527">
        <w:rPr>
          <w:rFonts w:asciiTheme="minorHAnsi" w:eastAsiaTheme="minorEastAsia" w:hAnsiTheme="minorHAnsi" w:cstheme="minorBidi"/>
          <w:sz w:val="40"/>
          <w:szCs w:val="40"/>
          <w:lang w:val="en-CA"/>
        </w:rPr>
        <w:t>human resources</w:t>
      </w:r>
      <w:r w:rsidRPr="00265527">
        <w:rPr>
          <w:rFonts w:asciiTheme="minorHAnsi" w:eastAsiaTheme="minorEastAsia" w:hAnsiTheme="minorHAnsi" w:cstheme="minorBidi"/>
          <w:sz w:val="40"/>
          <w:szCs w:val="40"/>
          <w:lang w:val="en-CA"/>
        </w:rPr>
        <w:t xml:space="preserve"> </w:t>
      </w:r>
      <w:r w:rsidR="00902F19" w:rsidRPr="00265527">
        <w:rPr>
          <w:rFonts w:asciiTheme="minorHAnsi" w:eastAsiaTheme="minorEastAsia" w:hAnsiTheme="minorHAnsi" w:cstheme="minorBidi"/>
          <w:sz w:val="40"/>
          <w:szCs w:val="40"/>
          <w:lang w:val="en-CA"/>
        </w:rPr>
        <w:t>s</w:t>
      </w:r>
      <w:r w:rsidRPr="00265527">
        <w:rPr>
          <w:rFonts w:asciiTheme="minorHAnsi" w:eastAsiaTheme="minorEastAsia" w:hAnsiTheme="minorHAnsi" w:cstheme="minorBidi"/>
          <w:sz w:val="40"/>
          <w:szCs w:val="40"/>
          <w:lang w:val="en-CA"/>
        </w:rPr>
        <w:t xml:space="preserve">upport for </w:t>
      </w:r>
      <w:r w:rsidR="00902F19" w:rsidRPr="00265527">
        <w:rPr>
          <w:rFonts w:asciiTheme="minorHAnsi" w:eastAsiaTheme="minorEastAsia" w:hAnsiTheme="minorHAnsi" w:cstheme="minorBidi"/>
          <w:sz w:val="40"/>
          <w:szCs w:val="40"/>
          <w:lang w:val="en-CA"/>
        </w:rPr>
        <w:t>d</w:t>
      </w:r>
      <w:r w:rsidRPr="00265527">
        <w:rPr>
          <w:rFonts w:asciiTheme="minorHAnsi" w:eastAsiaTheme="minorEastAsia" w:hAnsiTheme="minorHAnsi" w:cstheme="minorBidi"/>
          <w:sz w:val="40"/>
          <w:szCs w:val="40"/>
          <w:lang w:val="en-CA"/>
        </w:rPr>
        <w:t xml:space="preserve">igital </w:t>
      </w:r>
      <w:r w:rsidR="00902F19" w:rsidRPr="00265527">
        <w:rPr>
          <w:rFonts w:asciiTheme="minorHAnsi" w:eastAsiaTheme="minorEastAsia" w:hAnsiTheme="minorHAnsi" w:cstheme="minorBidi"/>
          <w:sz w:val="40"/>
          <w:szCs w:val="40"/>
          <w:lang w:val="en-CA"/>
        </w:rPr>
        <w:t>t</w:t>
      </w:r>
      <w:r w:rsidRPr="00265527">
        <w:rPr>
          <w:rFonts w:asciiTheme="minorHAnsi" w:eastAsiaTheme="minorEastAsia" w:hAnsiTheme="minorHAnsi" w:cstheme="minorBidi"/>
          <w:sz w:val="40"/>
          <w:szCs w:val="40"/>
          <w:lang w:val="en-CA"/>
        </w:rPr>
        <w:t>alent</w:t>
      </w:r>
    </w:p>
    <w:p w14:paraId="7AF0B44A" w14:textId="3F4535E2" w:rsidR="368941ED" w:rsidRPr="00265527" w:rsidRDefault="368941ED" w:rsidP="00265527">
      <w:pPr>
        <w:spacing w:after="240"/>
        <w:rPr>
          <w:rFonts w:eastAsiaTheme="minorEastAsia"/>
          <w:color w:val="000000" w:themeColor="text1"/>
          <w:lang w:val="en-CA"/>
        </w:rPr>
      </w:pPr>
      <w:r w:rsidRPr="00265527">
        <w:rPr>
          <w:rFonts w:eastAsiaTheme="minorEastAsia"/>
          <w:color w:val="000000" w:themeColor="text1"/>
          <w:lang w:val="en-CA"/>
        </w:rPr>
        <w:t>Managers and business owners of digital and IT</w:t>
      </w:r>
      <w:r w:rsidR="00902F19">
        <w:rPr>
          <w:rFonts w:eastAsiaTheme="minorEastAsia"/>
          <w:color w:val="000000" w:themeColor="text1"/>
          <w:lang w:val="en-CA"/>
        </w:rPr>
        <w:noBreakHyphen/>
      </w:r>
      <w:r w:rsidRPr="00265527">
        <w:rPr>
          <w:rFonts w:eastAsiaTheme="minorEastAsia"/>
          <w:color w:val="000000" w:themeColor="text1"/>
          <w:lang w:val="en-CA"/>
        </w:rPr>
        <w:t xml:space="preserve">related initiatives must work with their </w:t>
      </w:r>
      <w:r w:rsidR="00902F19">
        <w:rPr>
          <w:rFonts w:eastAsiaTheme="minorEastAsia"/>
          <w:color w:val="000000" w:themeColor="text1"/>
          <w:lang w:val="en-CA"/>
        </w:rPr>
        <w:t>human resources (</w:t>
      </w:r>
      <w:r w:rsidRPr="00265527">
        <w:rPr>
          <w:rFonts w:eastAsiaTheme="minorEastAsia"/>
          <w:color w:val="000000" w:themeColor="text1"/>
          <w:lang w:val="en-CA"/>
        </w:rPr>
        <w:t>HR</w:t>
      </w:r>
      <w:r w:rsidR="00902F19">
        <w:rPr>
          <w:rFonts w:eastAsiaTheme="minorEastAsia"/>
          <w:color w:val="000000" w:themeColor="text1"/>
          <w:lang w:val="en-CA"/>
        </w:rPr>
        <w:t>)</w:t>
      </w:r>
      <w:r w:rsidRPr="00265527">
        <w:rPr>
          <w:rFonts w:eastAsiaTheme="minorEastAsia"/>
          <w:color w:val="000000" w:themeColor="text1"/>
          <w:lang w:val="en-CA"/>
        </w:rPr>
        <w:t xml:space="preserve"> advisors to ensure that the organizational structure and staffing options available support digital service delivery and operations, balancing any HR</w:t>
      </w:r>
      <w:r w:rsidR="00902F19">
        <w:rPr>
          <w:rFonts w:eastAsiaTheme="minorEastAsia"/>
          <w:color w:val="000000" w:themeColor="text1"/>
          <w:lang w:val="en-CA"/>
        </w:rPr>
        <w:noBreakHyphen/>
      </w:r>
      <w:r w:rsidRPr="00265527">
        <w:rPr>
          <w:rFonts w:eastAsiaTheme="minorEastAsia"/>
          <w:color w:val="000000" w:themeColor="text1"/>
          <w:lang w:val="en-CA"/>
        </w:rPr>
        <w:t>related risks carefully against the risks of non</w:t>
      </w:r>
      <w:r w:rsidR="00902F19">
        <w:rPr>
          <w:rFonts w:eastAsiaTheme="minorEastAsia"/>
          <w:color w:val="000000" w:themeColor="text1"/>
          <w:lang w:val="en-CA"/>
        </w:rPr>
        <w:noBreakHyphen/>
      </w:r>
      <w:r w:rsidRPr="00265527">
        <w:rPr>
          <w:rFonts w:eastAsiaTheme="minorEastAsia"/>
          <w:color w:val="000000" w:themeColor="text1"/>
          <w:lang w:val="en-CA"/>
        </w:rPr>
        <w:t>delivery or artificial dependence on contracting out.</w:t>
      </w:r>
    </w:p>
    <w:p w14:paraId="12E1D38A" w14:textId="132E7496" w:rsidR="368941ED" w:rsidRPr="00265527" w:rsidRDefault="368941ED" w:rsidP="00265527">
      <w:pPr>
        <w:pStyle w:val="ListParagraph"/>
        <w:numPr>
          <w:ilvl w:val="0"/>
          <w:numId w:val="1"/>
        </w:numPr>
        <w:spacing w:after="240"/>
        <w:contextualSpacing w:val="0"/>
        <w:rPr>
          <w:rFonts w:eastAsiaTheme="minorEastAsia"/>
          <w:color w:val="000000" w:themeColor="text1"/>
          <w:lang w:val="en-CA"/>
        </w:rPr>
      </w:pPr>
      <w:r w:rsidRPr="00265527">
        <w:rPr>
          <w:rFonts w:eastAsiaTheme="minorEastAsia"/>
          <w:color w:val="000000" w:themeColor="text1"/>
          <w:lang w:val="en-CA"/>
        </w:rPr>
        <w:t>Use the generic suite of HR products for the digital community wherever possible to proceed quickly and consistently through the classification process.</w:t>
      </w:r>
    </w:p>
    <w:p w14:paraId="4B39B49E" w14:textId="03BA328E" w:rsidR="368941ED" w:rsidRPr="008C1AF3" w:rsidRDefault="368941ED" w:rsidP="00265527">
      <w:pPr>
        <w:pStyle w:val="ListParagraph"/>
        <w:numPr>
          <w:ilvl w:val="0"/>
          <w:numId w:val="1"/>
        </w:numPr>
        <w:spacing w:after="240"/>
        <w:contextualSpacing w:val="0"/>
        <w:rPr>
          <w:rFonts w:eastAsiaTheme="minorEastAsia"/>
          <w:color w:val="000000" w:themeColor="text1"/>
          <w:lang w:val="en-CA"/>
        </w:rPr>
      </w:pPr>
      <w:r w:rsidRPr="008C1AF3">
        <w:rPr>
          <w:rFonts w:eastAsiaTheme="minorEastAsia"/>
          <w:color w:val="000000" w:themeColor="text1"/>
          <w:lang w:val="en-CA"/>
        </w:rPr>
        <w:t xml:space="preserve">Leverage term appointments to the extent possible to mitigate dependence on contracting out. </w:t>
      </w:r>
    </w:p>
    <w:p w14:paraId="14696A52" w14:textId="3C24C790" w:rsidR="368941ED" w:rsidRPr="008C1AF3" w:rsidRDefault="368941ED" w:rsidP="00265527">
      <w:pPr>
        <w:pStyle w:val="ListParagraph"/>
        <w:numPr>
          <w:ilvl w:val="0"/>
          <w:numId w:val="1"/>
        </w:numPr>
        <w:spacing w:after="240"/>
        <w:contextualSpacing w:val="0"/>
        <w:rPr>
          <w:rFonts w:eastAsiaTheme="minorEastAsia"/>
          <w:color w:val="000000" w:themeColor="text1"/>
          <w:lang w:val="en-CA"/>
        </w:rPr>
      </w:pPr>
      <w:r w:rsidRPr="008C1AF3">
        <w:rPr>
          <w:rFonts w:eastAsiaTheme="minorEastAsia"/>
          <w:color w:val="000000" w:themeColor="text1"/>
          <w:lang w:val="en-CA"/>
        </w:rPr>
        <w:t xml:space="preserve">In cases where a contract is being considered to address a talent gap, the official language profile of the work should be consistent with the language profile of the equivalent work within the department. Managers are encouraged to work with their HR advisors, engaging </w:t>
      </w:r>
      <w:r w:rsidR="00902F19">
        <w:rPr>
          <w:rFonts w:eastAsiaTheme="minorEastAsia"/>
          <w:color w:val="000000" w:themeColor="text1"/>
          <w:lang w:val="en-CA"/>
        </w:rPr>
        <w:t xml:space="preserve">the Office of the Chief </w:t>
      </w:r>
      <w:r w:rsidR="007E3AD7">
        <w:rPr>
          <w:rFonts w:eastAsiaTheme="minorEastAsia"/>
          <w:color w:val="000000" w:themeColor="text1"/>
          <w:lang w:val="en-CA"/>
        </w:rPr>
        <w:t xml:space="preserve">Information </w:t>
      </w:r>
      <w:r w:rsidR="00902F19">
        <w:rPr>
          <w:rFonts w:eastAsiaTheme="minorEastAsia"/>
          <w:color w:val="000000" w:themeColor="text1"/>
          <w:lang w:val="en-CA"/>
        </w:rPr>
        <w:t>Officer (</w:t>
      </w:r>
      <w:r w:rsidRPr="008C1AF3">
        <w:rPr>
          <w:rFonts w:eastAsiaTheme="minorEastAsia"/>
          <w:color w:val="000000" w:themeColor="text1"/>
          <w:lang w:val="en-CA"/>
        </w:rPr>
        <w:t>OCIO</w:t>
      </w:r>
      <w:r w:rsidR="00902F19">
        <w:rPr>
          <w:rFonts w:eastAsiaTheme="minorEastAsia"/>
          <w:color w:val="000000" w:themeColor="text1"/>
          <w:lang w:val="en-CA"/>
        </w:rPr>
        <w:t>)</w:t>
      </w:r>
      <w:r w:rsidRPr="008C1AF3">
        <w:rPr>
          <w:rFonts w:eastAsiaTheme="minorEastAsia"/>
          <w:color w:val="000000" w:themeColor="text1"/>
          <w:lang w:val="en-CA"/>
        </w:rPr>
        <w:t xml:space="preserve"> as necessary, to leverage the generics and avoid language</w:t>
      </w:r>
      <w:r w:rsidR="00902F19">
        <w:rPr>
          <w:rFonts w:eastAsiaTheme="minorEastAsia"/>
          <w:color w:val="000000" w:themeColor="text1"/>
          <w:lang w:val="en-CA"/>
        </w:rPr>
        <w:noBreakHyphen/>
      </w:r>
      <w:r w:rsidRPr="008C1AF3">
        <w:rPr>
          <w:rFonts w:eastAsiaTheme="minorEastAsia"/>
          <w:color w:val="000000" w:themeColor="text1"/>
          <w:lang w:val="en-CA"/>
        </w:rPr>
        <w:t>related fairness issues between staffing and contracting.</w:t>
      </w:r>
    </w:p>
    <w:p w14:paraId="7B177614" w14:textId="4E898D05" w:rsidR="368941ED" w:rsidRPr="00D92C35" w:rsidRDefault="368941ED" w:rsidP="00265527">
      <w:pPr>
        <w:pStyle w:val="ListParagraph"/>
        <w:numPr>
          <w:ilvl w:val="0"/>
          <w:numId w:val="1"/>
        </w:numPr>
        <w:spacing w:after="240"/>
        <w:contextualSpacing w:val="0"/>
        <w:rPr>
          <w:rFonts w:eastAsiaTheme="minorEastAsia"/>
          <w:color w:val="000000" w:themeColor="text1"/>
          <w:lang w:val="en-CA"/>
        </w:rPr>
      </w:pPr>
      <w:r w:rsidRPr="00D92C35">
        <w:rPr>
          <w:rFonts w:eastAsiaTheme="minorEastAsia"/>
          <w:color w:val="000000" w:themeColor="text1"/>
          <w:lang w:val="en-CA"/>
        </w:rPr>
        <w:t>In cases where there are digital talent shortages, managers are encouraged to work with their HR advisors to consider leveraging the flexibility available through the non</w:t>
      </w:r>
      <w:r w:rsidR="00902F19">
        <w:rPr>
          <w:rFonts w:eastAsiaTheme="minorEastAsia"/>
          <w:color w:val="000000" w:themeColor="text1"/>
          <w:lang w:val="en-CA"/>
        </w:rPr>
        <w:noBreakHyphen/>
      </w:r>
      <w:r w:rsidRPr="00D92C35">
        <w:rPr>
          <w:rFonts w:eastAsiaTheme="minorEastAsia"/>
          <w:color w:val="000000" w:themeColor="text1"/>
          <w:lang w:val="en-CA"/>
        </w:rPr>
        <w:t>imperative staffing process, where appropriate.</w:t>
      </w:r>
    </w:p>
    <w:p w14:paraId="29C7B6C0" w14:textId="51FD4F8C" w:rsidR="368941ED" w:rsidRPr="00D92C35" w:rsidRDefault="368941ED" w:rsidP="00265527">
      <w:pPr>
        <w:pStyle w:val="ListParagraph"/>
        <w:numPr>
          <w:ilvl w:val="0"/>
          <w:numId w:val="1"/>
        </w:numPr>
        <w:spacing w:after="240"/>
        <w:contextualSpacing w:val="0"/>
        <w:rPr>
          <w:rFonts w:eastAsiaTheme="minorEastAsia"/>
          <w:color w:val="000000" w:themeColor="text1"/>
          <w:lang w:val="en-CA"/>
        </w:rPr>
      </w:pPr>
      <w:r w:rsidRPr="00D92C35">
        <w:rPr>
          <w:rFonts w:eastAsiaTheme="minorEastAsia"/>
          <w:color w:val="000000" w:themeColor="text1"/>
          <w:lang w:val="en-CA"/>
        </w:rPr>
        <w:t xml:space="preserve">Second official language training for digital talent is strongly encouraged as a mechanism to support employee development and to build a strong bilingual digital workforce. </w:t>
      </w:r>
    </w:p>
    <w:p w14:paraId="1F366C5B" w14:textId="5437E0C7" w:rsidR="368941ED" w:rsidRPr="00D92C35" w:rsidRDefault="368941ED" w:rsidP="00265527">
      <w:pPr>
        <w:pStyle w:val="ListParagraph"/>
        <w:numPr>
          <w:ilvl w:val="0"/>
          <w:numId w:val="1"/>
        </w:numPr>
        <w:spacing w:after="240"/>
        <w:contextualSpacing w:val="0"/>
        <w:rPr>
          <w:rFonts w:eastAsiaTheme="minorEastAsia"/>
          <w:lang w:val="en-CA"/>
        </w:rPr>
      </w:pPr>
      <w:r w:rsidRPr="00D92C35">
        <w:rPr>
          <w:rFonts w:eastAsiaTheme="minorEastAsia"/>
          <w:color w:val="000000" w:themeColor="text1"/>
          <w:lang w:val="en-CA"/>
        </w:rPr>
        <w:t>In cases w</w:t>
      </w:r>
      <w:r w:rsidRPr="00D92C35">
        <w:rPr>
          <w:rFonts w:eastAsiaTheme="minorEastAsia"/>
          <w:lang w:val="en-CA"/>
        </w:rPr>
        <w:t>here managers experience recruitment challenges, they are encouraged to use the education requirement equivalencies available to them under the</w:t>
      </w:r>
      <w:r w:rsidR="00902F19">
        <w:rPr>
          <w:rStyle w:val="Hyperlink"/>
          <w:rFonts w:eastAsiaTheme="minorEastAsia"/>
          <w:i/>
          <w:iCs/>
          <w:lang w:val="en-CA"/>
        </w:rPr>
        <w:t xml:space="preserve"> </w:t>
      </w:r>
      <w:hyperlink r:id="rId7" w:history="1">
        <w:r w:rsidR="00902F19">
          <w:rPr>
            <w:rStyle w:val="Hyperlink"/>
          </w:rPr>
          <w:t>Qualification standards for the core public administration by occupational group or classification</w:t>
        </w:r>
      </w:hyperlink>
      <w:r w:rsidRPr="00D92C35">
        <w:rPr>
          <w:rFonts w:eastAsiaTheme="minorEastAsia"/>
          <w:lang w:val="en-CA"/>
        </w:rPr>
        <w:t>.</w:t>
      </w:r>
    </w:p>
    <w:p w14:paraId="493E9B96" w14:textId="25BC2192" w:rsidR="368941ED" w:rsidRPr="00F84E15" w:rsidRDefault="368941ED" w:rsidP="00265527">
      <w:pPr>
        <w:pStyle w:val="ListParagraph"/>
        <w:numPr>
          <w:ilvl w:val="0"/>
          <w:numId w:val="1"/>
        </w:numPr>
        <w:spacing w:after="240"/>
        <w:contextualSpacing w:val="0"/>
        <w:rPr>
          <w:rFonts w:eastAsiaTheme="minorEastAsia"/>
          <w:lang w:val="en-CA"/>
        </w:rPr>
      </w:pPr>
      <w:r w:rsidRPr="00D92C35">
        <w:rPr>
          <w:rFonts w:eastAsiaTheme="minorEastAsia"/>
          <w:lang w:val="en-CA"/>
        </w:rPr>
        <w:t xml:space="preserve">In </w:t>
      </w:r>
      <w:r w:rsidRPr="00F84E15">
        <w:rPr>
          <w:rFonts w:eastAsiaTheme="minorEastAsia"/>
          <w:color w:val="000000" w:themeColor="text1"/>
          <w:lang w:val="en-CA"/>
        </w:rPr>
        <w:t>cases</w:t>
      </w:r>
      <w:r w:rsidRPr="00F84E15">
        <w:rPr>
          <w:rFonts w:eastAsiaTheme="minorEastAsia"/>
          <w:lang w:val="en-CA"/>
        </w:rPr>
        <w:t xml:space="preserve"> where there are digital talent shortages, managers are strongly encouraged to consider flexible work arrangements, such as remote work, within the parameters of their department’s guidelines.</w:t>
      </w:r>
    </w:p>
    <w:p w14:paraId="05BCA8F8" w14:textId="685E276C" w:rsidR="368941ED" w:rsidRPr="00F84E15" w:rsidRDefault="368941ED" w:rsidP="006F2D8F">
      <w:pPr>
        <w:pStyle w:val="ListParagraph"/>
        <w:numPr>
          <w:ilvl w:val="0"/>
          <w:numId w:val="1"/>
        </w:numPr>
        <w:spacing w:after="240"/>
        <w:contextualSpacing w:val="0"/>
        <w:rPr>
          <w:rFonts w:eastAsiaTheme="minorEastAsia"/>
          <w:color w:val="000000" w:themeColor="text1"/>
          <w:lang w:val="en-CA"/>
        </w:rPr>
      </w:pPr>
      <w:r w:rsidRPr="00F84E15">
        <w:rPr>
          <w:rFonts w:eastAsiaTheme="minorEastAsia"/>
          <w:color w:val="000000" w:themeColor="text1"/>
          <w:lang w:val="en-CA"/>
        </w:rPr>
        <w:t>In cases where operations are funded on a cost</w:t>
      </w:r>
      <w:r w:rsidR="00902F19">
        <w:rPr>
          <w:rFonts w:eastAsiaTheme="minorEastAsia"/>
          <w:color w:val="000000" w:themeColor="text1"/>
          <w:lang w:val="en-CA"/>
        </w:rPr>
        <w:noBreakHyphen/>
      </w:r>
      <w:r w:rsidRPr="00F84E15">
        <w:rPr>
          <w:rFonts w:eastAsiaTheme="minorEastAsia"/>
          <w:color w:val="000000" w:themeColor="text1"/>
          <w:lang w:val="en-CA"/>
        </w:rPr>
        <w:t>recovery basis, making indeterminate appointments impractical, departments are strongly encouraged to maintain a reasonable inventory of vacant term positions to enable staffing while balancing financial risk, without creating artificial dependency on contracting.</w:t>
      </w:r>
    </w:p>
    <w:p w14:paraId="1B1C3BD4" w14:textId="3BBBF1AA" w:rsidR="368941ED" w:rsidRPr="00F84E15" w:rsidRDefault="368941ED" w:rsidP="006F2D8F">
      <w:pPr>
        <w:pStyle w:val="ListParagraph"/>
        <w:numPr>
          <w:ilvl w:val="0"/>
          <w:numId w:val="1"/>
        </w:numPr>
        <w:spacing w:after="240"/>
        <w:contextualSpacing w:val="0"/>
        <w:rPr>
          <w:rFonts w:eastAsiaTheme="minorEastAsia"/>
          <w:lang w:val="en-CA"/>
        </w:rPr>
      </w:pPr>
      <w:r w:rsidRPr="00F84E15">
        <w:rPr>
          <w:rFonts w:eastAsiaTheme="minorEastAsia"/>
          <w:lang w:val="en-CA"/>
        </w:rPr>
        <w:t xml:space="preserve">In cases where a contractor has been working with a department for more than three years under the same contract or in the same role, departments are required to inform OCIO </w:t>
      </w:r>
      <w:r w:rsidR="00902F19">
        <w:rPr>
          <w:rFonts w:eastAsiaTheme="minorEastAsia"/>
          <w:lang w:val="en-CA"/>
        </w:rPr>
        <w:t>using</w:t>
      </w:r>
      <w:r w:rsidR="00902F19" w:rsidRPr="00F84E15">
        <w:rPr>
          <w:rFonts w:eastAsiaTheme="minorEastAsia"/>
          <w:lang w:val="en-CA"/>
        </w:rPr>
        <w:t xml:space="preserve"> </w:t>
      </w:r>
      <w:r w:rsidRPr="00F84E15">
        <w:rPr>
          <w:rFonts w:eastAsiaTheme="minorEastAsia"/>
          <w:lang w:val="en-CA"/>
        </w:rPr>
        <w:t>the Annual Digital Talent Survey. As a best practice, departments are strongly encouraged to consider alternative talent sourcing approaches, such as a staffing appointment.</w:t>
      </w:r>
    </w:p>
    <w:sectPr w:rsidR="368941ED" w:rsidRPr="00F84E1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26DCD" w14:textId="77777777" w:rsidR="00206B26" w:rsidRDefault="00206B26">
      <w:pPr>
        <w:spacing w:after="0" w:line="240" w:lineRule="auto"/>
      </w:pPr>
      <w:r>
        <w:separator/>
      </w:r>
    </w:p>
  </w:endnote>
  <w:endnote w:type="continuationSeparator" w:id="0">
    <w:p w14:paraId="154BD762" w14:textId="77777777" w:rsidR="00206B26" w:rsidRDefault="00206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450351"/>
      <w:docPartObj>
        <w:docPartGallery w:val="Page Numbers (Bottom of Page)"/>
        <w:docPartUnique/>
      </w:docPartObj>
    </w:sdtPr>
    <w:sdtEndPr/>
    <w:sdtContent>
      <w:sdt>
        <w:sdtPr>
          <w:id w:val="1728636285"/>
          <w:docPartObj>
            <w:docPartGallery w:val="Page Numbers (Top of Page)"/>
            <w:docPartUnique/>
          </w:docPartObj>
        </w:sdtPr>
        <w:sdtEndPr/>
        <w:sdtContent>
          <w:p w14:paraId="12BFB584" w14:textId="77777777" w:rsidR="00417EF9" w:rsidRDefault="00417EF9" w:rsidP="00323ED8">
            <w:pPr>
              <w:pStyle w:val="Foote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7"/>
              <w:gridCol w:w="3318"/>
              <w:gridCol w:w="3230"/>
            </w:tblGrid>
            <w:tr w:rsidR="00417EF9" w14:paraId="21D058EA" w14:textId="77777777" w:rsidTr="00417EF9">
              <w:tc>
                <w:tcPr>
                  <w:tcW w:w="2897" w:type="dxa"/>
                </w:tcPr>
                <w:p w14:paraId="5FA3487E" w14:textId="77777777" w:rsidR="00417EF9" w:rsidRDefault="00417EF9" w:rsidP="00417EF9">
                  <w:pPr>
                    <w:pStyle w:val="Footer"/>
                  </w:pPr>
                </w:p>
              </w:tc>
              <w:tc>
                <w:tcPr>
                  <w:tcW w:w="3318" w:type="dxa"/>
                </w:tcPr>
                <w:p w14:paraId="1620E4D0" w14:textId="77777777" w:rsidR="00417EF9" w:rsidRDefault="00417EF9" w:rsidP="00417EF9">
                  <w:pPr>
                    <w:pStyle w:val="Footer"/>
                    <w:jc w:val="center"/>
                  </w:pPr>
                  <w:r w:rsidRPr="00E76A3B">
                    <w:t xml:space="preserve">Page </w:t>
                  </w:r>
                  <w:r w:rsidRPr="00E76A3B">
                    <w:rPr>
                      <w:noProof/>
                    </w:rPr>
                    <w:fldChar w:fldCharType="begin"/>
                  </w:r>
                  <w:r w:rsidRPr="00E76A3B">
                    <w:instrText xml:space="preserve"> PAGE  \* Arabic  \* MERGEFORMAT </w:instrText>
                  </w:r>
                  <w:r w:rsidRPr="00E76A3B">
                    <w:fldChar w:fldCharType="separate"/>
                  </w:r>
                  <w:r>
                    <w:t>1</w:t>
                  </w:r>
                  <w:r w:rsidRPr="00E76A3B">
                    <w:rPr>
                      <w:noProof/>
                    </w:rPr>
                    <w:fldChar w:fldCharType="end"/>
                  </w:r>
                  <w:r w:rsidRPr="00E76A3B">
                    <w:t xml:space="preserve"> of </w:t>
                  </w:r>
                  <w:r>
                    <w:fldChar w:fldCharType="begin"/>
                  </w:r>
                  <w:r>
                    <w:instrText>NUMPAGES  \* Arabic  \* MERGEFORMAT</w:instrText>
                  </w:r>
                  <w:r>
                    <w:fldChar w:fldCharType="separate"/>
                  </w:r>
                  <w:r>
                    <w:t>11</w:t>
                  </w:r>
                  <w:r>
                    <w:fldChar w:fldCharType="end"/>
                  </w:r>
                </w:p>
              </w:tc>
              <w:tc>
                <w:tcPr>
                  <w:tcW w:w="3230" w:type="dxa"/>
                </w:tcPr>
                <w:p w14:paraId="453BCA65" w14:textId="65A8AFD1" w:rsidR="00417EF9" w:rsidRDefault="00417EF9" w:rsidP="00417EF9">
                  <w:pPr>
                    <w:pStyle w:val="Footer"/>
                    <w:jc w:val="right"/>
                    <w:rPr>
                      <w:noProof/>
                    </w:rPr>
                  </w:pPr>
                  <w:r>
                    <w:rPr>
                      <w:noProof/>
                    </w:rPr>
                    <w:drawing>
                      <wp:anchor distT="0" distB="0" distL="114300" distR="114300" simplePos="0" relativeHeight="251660800" behindDoc="0" locked="0" layoutInCell="1" allowOverlap="1" wp14:anchorId="50EFC2C7" wp14:editId="191027DC">
                        <wp:simplePos x="0" y="0"/>
                        <wp:positionH relativeFrom="margin">
                          <wp:posOffset>1347860</wp:posOffset>
                        </wp:positionH>
                        <wp:positionV relativeFrom="bottomMargin">
                          <wp:posOffset>95</wp:posOffset>
                        </wp:positionV>
                        <wp:extent cx="1058544" cy="286603"/>
                        <wp:effectExtent l="0" t="0" r="8890" b="0"/>
                        <wp:wrapSquare wrapText="bothSides"/>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5896" r="18177" b="22837"/>
                                <a:stretch/>
                              </pic:blipFill>
                              <pic:spPr bwMode="auto">
                                <a:xfrm>
                                  <a:off x="0" y="0"/>
                                  <a:ext cx="1077336" cy="2916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60209F19" w14:textId="6237D3A8" w:rsidR="0B727533" w:rsidRDefault="007D02C1" w:rsidP="00323ED8">
            <w:pPr>
              <w:pStyle w:val="Foote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3CAC0" w14:textId="77777777" w:rsidR="00206B26" w:rsidRDefault="00206B26">
      <w:pPr>
        <w:spacing w:after="0" w:line="240" w:lineRule="auto"/>
      </w:pPr>
      <w:r>
        <w:separator/>
      </w:r>
    </w:p>
  </w:footnote>
  <w:footnote w:type="continuationSeparator" w:id="0">
    <w:p w14:paraId="5A1A83E3" w14:textId="77777777" w:rsidR="00206B26" w:rsidRDefault="00206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756"/>
      <w:gridCol w:w="3604"/>
    </w:tblGrid>
    <w:tr w:rsidR="00C14B26" w14:paraId="2C20CBA7" w14:textId="77777777" w:rsidTr="69944D5C">
      <w:tc>
        <w:tcPr>
          <w:tcW w:w="4675" w:type="dxa"/>
        </w:tcPr>
        <w:p w14:paraId="5391C532" w14:textId="6EBF1E62" w:rsidR="00BC36DD" w:rsidRDefault="00323ED8" w:rsidP="0B727533">
          <w:pPr>
            <w:pStyle w:val="Header"/>
          </w:pPr>
          <w:r>
            <w:rPr>
              <w:noProof/>
            </w:rPr>
            <w:drawing>
              <wp:inline distT="0" distB="0" distL="0" distR="0" wp14:anchorId="34FD79DB" wp14:editId="7B38A1E5">
                <wp:extent cx="3655632" cy="354690"/>
                <wp:effectExtent l="0" t="0" r="0" b="0"/>
                <wp:docPr id="1" name="Picture 1" descr="Treasury Board of Canada (TB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reasury Board of Canada (TBS) signature. "/>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114" t="21035" r="3881" b="12321"/>
                        <a:stretch/>
                      </pic:blipFill>
                      <pic:spPr bwMode="auto">
                        <a:xfrm>
                          <a:off x="0" y="0"/>
                          <a:ext cx="3656796" cy="35480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1A46E08A" w14:textId="4C6DB6C6" w:rsidR="00BC36DD" w:rsidRDefault="69944D5C" w:rsidP="00BC36DD">
          <w:pPr>
            <w:pStyle w:val="Header"/>
            <w:jc w:val="right"/>
          </w:pPr>
          <w:r>
            <w:t>Final Version</w:t>
          </w:r>
        </w:p>
      </w:tc>
    </w:tr>
  </w:tbl>
  <w:p w14:paraId="7C3D6283" w14:textId="65E00D10" w:rsidR="0B727533" w:rsidRDefault="0B727533" w:rsidP="0B727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DADC"/>
    <w:multiLevelType w:val="hybridMultilevel"/>
    <w:tmpl w:val="E3F26F0A"/>
    <w:lvl w:ilvl="0" w:tplc="6BB46CEE">
      <w:start w:val="1"/>
      <w:numFmt w:val="decimal"/>
      <w:lvlText w:val="%1."/>
      <w:lvlJc w:val="left"/>
      <w:pPr>
        <w:ind w:left="720" w:hanging="360"/>
      </w:pPr>
    </w:lvl>
    <w:lvl w:ilvl="1" w:tplc="490A59E0">
      <w:start w:val="1"/>
      <w:numFmt w:val="upperLetter"/>
      <w:lvlText w:val="%2."/>
      <w:lvlJc w:val="left"/>
      <w:pPr>
        <w:ind w:left="1440" w:hanging="360"/>
      </w:pPr>
    </w:lvl>
    <w:lvl w:ilvl="2" w:tplc="48463674">
      <w:start w:val="1"/>
      <w:numFmt w:val="upperLetter"/>
      <w:lvlText w:val="%3."/>
      <w:lvlJc w:val="left"/>
      <w:pPr>
        <w:ind w:left="2160" w:hanging="180"/>
      </w:pPr>
    </w:lvl>
    <w:lvl w:ilvl="3" w:tplc="8D86B4F2">
      <w:start w:val="1"/>
      <w:numFmt w:val="decimal"/>
      <w:lvlText w:val="%4."/>
      <w:lvlJc w:val="left"/>
      <w:pPr>
        <w:ind w:left="2880" w:hanging="360"/>
      </w:pPr>
    </w:lvl>
    <w:lvl w:ilvl="4" w:tplc="25EAC610">
      <w:start w:val="1"/>
      <w:numFmt w:val="lowerLetter"/>
      <w:lvlText w:val="%5."/>
      <w:lvlJc w:val="left"/>
      <w:pPr>
        <w:ind w:left="3600" w:hanging="360"/>
      </w:pPr>
    </w:lvl>
    <w:lvl w:ilvl="5" w:tplc="D3DE6A5E">
      <w:start w:val="1"/>
      <w:numFmt w:val="lowerRoman"/>
      <w:lvlText w:val="%6."/>
      <w:lvlJc w:val="right"/>
      <w:pPr>
        <w:ind w:left="4320" w:hanging="180"/>
      </w:pPr>
    </w:lvl>
    <w:lvl w:ilvl="6" w:tplc="F15A9202">
      <w:start w:val="1"/>
      <w:numFmt w:val="decimal"/>
      <w:lvlText w:val="%7."/>
      <w:lvlJc w:val="left"/>
      <w:pPr>
        <w:ind w:left="5040" w:hanging="360"/>
      </w:pPr>
    </w:lvl>
    <w:lvl w:ilvl="7" w:tplc="F5A69C40">
      <w:start w:val="1"/>
      <w:numFmt w:val="lowerLetter"/>
      <w:lvlText w:val="%8."/>
      <w:lvlJc w:val="left"/>
      <w:pPr>
        <w:ind w:left="5760" w:hanging="360"/>
      </w:pPr>
    </w:lvl>
    <w:lvl w:ilvl="8" w:tplc="C1DED3CC">
      <w:start w:val="1"/>
      <w:numFmt w:val="lowerRoman"/>
      <w:lvlText w:val="%9."/>
      <w:lvlJc w:val="right"/>
      <w:pPr>
        <w:ind w:left="6480" w:hanging="180"/>
      </w:pPr>
    </w:lvl>
  </w:abstractNum>
  <w:abstractNum w:abstractNumId="1" w15:restartNumberingAfterBreak="0">
    <w:nsid w:val="4AC1AC75"/>
    <w:multiLevelType w:val="hybridMultilevel"/>
    <w:tmpl w:val="2528B0EA"/>
    <w:lvl w:ilvl="0" w:tplc="AB2C6334">
      <w:start w:val="1"/>
      <w:numFmt w:val="bullet"/>
      <w:lvlText w:val=""/>
      <w:lvlJc w:val="left"/>
      <w:pPr>
        <w:ind w:left="360" w:hanging="360"/>
      </w:pPr>
      <w:rPr>
        <w:rFonts w:ascii="Symbol" w:hAnsi="Symbol" w:hint="default"/>
      </w:rPr>
    </w:lvl>
    <w:lvl w:ilvl="1" w:tplc="23AAAE5E">
      <w:start w:val="1"/>
      <w:numFmt w:val="bullet"/>
      <w:lvlText w:val="o"/>
      <w:lvlJc w:val="left"/>
      <w:pPr>
        <w:ind w:left="1080" w:hanging="360"/>
      </w:pPr>
      <w:rPr>
        <w:rFonts w:ascii="Courier New" w:hAnsi="Courier New" w:hint="default"/>
      </w:rPr>
    </w:lvl>
    <w:lvl w:ilvl="2" w:tplc="F0BE4FAC">
      <w:start w:val="1"/>
      <w:numFmt w:val="bullet"/>
      <w:lvlText w:val=""/>
      <w:lvlJc w:val="left"/>
      <w:pPr>
        <w:ind w:left="1800" w:hanging="360"/>
      </w:pPr>
      <w:rPr>
        <w:rFonts w:ascii="Symbol" w:hAnsi="Symbol" w:hint="default"/>
      </w:rPr>
    </w:lvl>
    <w:lvl w:ilvl="3" w:tplc="EF320376">
      <w:start w:val="1"/>
      <w:numFmt w:val="bullet"/>
      <w:lvlText w:val=""/>
      <w:lvlJc w:val="left"/>
      <w:pPr>
        <w:ind w:left="2520" w:hanging="360"/>
      </w:pPr>
      <w:rPr>
        <w:rFonts w:ascii="Symbol" w:hAnsi="Symbol" w:hint="default"/>
      </w:rPr>
    </w:lvl>
    <w:lvl w:ilvl="4" w:tplc="36AA88F6">
      <w:start w:val="1"/>
      <w:numFmt w:val="bullet"/>
      <w:lvlText w:val="o"/>
      <w:lvlJc w:val="left"/>
      <w:pPr>
        <w:ind w:left="3240" w:hanging="360"/>
      </w:pPr>
      <w:rPr>
        <w:rFonts w:ascii="Courier New" w:hAnsi="Courier New" w:hint="default"/>
      </w:rPr>
    </w:lvl>
    <w:lvl w:ilvl="5" w:tplc="E55EE046">
      <w:start w:val="1"/>
      <w:numFmt w:val="bullet"/>
      <w:lvlText w:val=""/>
      <w:lvlJc w:val="left"/>
      <w:pPr>
        <w:ind w:left="3960" w:hanging="360"/>
      </w:pPr>
      <w:rPr>
        <w:rFonts w:ascii="Wingdings" w:hAnsi="Wingdings" w:hint="default"/>
      </w:rPr>
    </w:lvl>
    <w:lvl w:ilvl="6" w:tplc="7E726EE8">
      <w:start w:val="1"/>
      <w:numFmt w:val="bullet"/>
      <w:lvlText w:val=""/>
      <w:lvlJc w:val="left"/>
      <w:pPr>
        <w:ind w:left="4680" w:hanging="360"/>
      </w:pPr>
      <w:rPr>
        <w:rFonts w:ascii="Symbol" w:hAnsi="Symbol" w:hint="default"/>
      </w:rPr>
    </w:lvl>
    <w:lvl w:ilvl="7" w:tplc="2B2CA608">
      <w:start w:val="1"/>
      <w:numFmt w:val="bullet"/>
      <w:lvlText w:val="o"/>
      <w:lvlJc w:val="left"/>
      <w:pPr>
        <w:ind w:left="5400" w:hanging="360"/>
      </w:pPr>
      <w:rPr>
        <w:rFonts w:ascii="Courier New" w:hAnsi="Courier New" w:hint="default"/>
      </w:rPr>
    </w:lvl>
    <w:lvl w:ilvl="8" w:tplc="F79A5BBA">
      <w:start w:val="1"/>
      <w:numFmt w:val="bullet"/>
      <w:lvlText w:val=""/>
      <w:lvlJc w:val="left"/>
      <w:pPr>
        <w:ind w:left="6120" w:hanging="360"/>
      </w:pPr>
      <w:rPr>
        <w:rFonts w:ascii="Wingdings" w:hAnsi="Wingdings" w:hint="default"/>
      </w:rPr>
    </w:lvl>
  </w:abstractNum>
  <w:abstractNum w:abstractNumId="2" w15:restartNumberingAfterBreak="0">
    <w:nsid w:val="5A36A191"/>
    <w:multiLevelType w:val="multilevel"/>
    <w:tmpl w:val="64B0121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num w:numId="1" w16cid:durableId="1300693664">
    <w:abstractNumId w:val="1"/>
  </w:num>
  <w:num w:numId="2" w16cid:durableId="1201475704">
    <w:abstractNumId w:val="2"/>
  </w:num>
  <w:num w:numId="3" w16cid:durableId="92828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1E42C9"/>
    <w:rsid w:val="0005364F"/>
    <w:rsid w:val="00075C4A"/>
    <w:rsid w:val="001C2F11"/>
    <w:rsid w:val="00206B26"/>
    <w:rsid w:val="00265527"/>
    <w:rsid w:val="002F5611"/>
    <w:rsid w:val="00323ED8"/>
    <w:rsid w:val="00394419"/>
    <w:rsid w:val="00417EF9"/>
    <w:rsid w:val="00462AF0"/>
    <w:rsid w:val="00462FBF"/>
    <w:rsid w:val="004862B1"/>
    <w:rsid w:val="00573059"/>
    <w:rsid w:val="005E188E"/>
    <w:rsid w:val="005E70C0"/>
    <w:rsid w:val="006F2D8F"/>
    <w:rsid w:val="007D02C1"/>
    <w:rsid w:val="007E3AD7"/>
    <w:rsid w:val="00850760"/>
    <w:rsid w:val="008C1AF3"/>
    <w:rsid w:val="00902F19"/>
    <w:rsid w:val="009C1995"/>
    <w:rsid w:val="00A22335"/>
    <w:rsid w:val="00B150F7"/>
    <w:rsid w:val="00B302DB"/>
    <w:rsid w:val="00B546DB"/>
    <w:rsid w:val="00BC36DD"/>
    <w:rsid w:val="00C12022"/>
    <w:rsid w:val="00C14B26"/>
    <w:rsid w:val="00C22453"/>
    <w:rsid w:val="00C372EC"/>
    <w:rsid w:val="00D92C35"/>
    <w:rsid w:val="00E5495F"/>
    <w:rsid w:val="00EC6D3C"/>
    <w:rsid w:val="00EF42FB"/>
    <w:rsid w:val="00F84E15"/>
    <w:rsid w:val="0108591B"/>
    <w:rsid w:val="0B727533"/>
    <w:rsid w:val="171E42C9"/>
    <w:rsid w:val="2C79575D"/>
    <w:rsid w:val="368941ED"/>
    <w:rsid w:val="3713FC96"/>
    <w:rsid w:val="41AEA1CF"/>
    <w:rsid w:val="468212F2"/>
    <w:rsid w:val="69944D5C"/>
    <w:rsid w:val="7C61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E42C9"/>
  <w15:chartTrackingRefBased/>
  <w15:docId w15:val="{DDCF7C17-487D-4C65-A34F-661AD193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PlainTable4">
    <w:name w:val="Plain Table 4"/>
    <w:basedOn w:val="TableNormal"/>
    <w:uiPriority w:val="44"/>
    <w:rsid w:val="00B546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902F19"/>
    <w:pPr>
      <w:spacing w:after="0" w:line="240" w:lineRule="auto"/>
    </w:pPr>
  </w:style>
  <w:style w:type="character" w:styleId="FollowedHyperlink">
    <w:name w:val="FollowedHyperlink"/>
    <w:basedOn w:val="DefaultParagraphFont"/>
    <w:uiPriority w:val="99"/>
    <w:semiHidden/>
    <w:unhideWhenUsed/>
    <w:rsid w:val="00902F19"/>
    <w:rPr>
      <w:color w:val="954F72" w:themeColor="followedHyperlink"/>
      <w:u w:val="single"/>
    </w:rPr>
  </w:style>
  <w:style w:type="character" w:styleId="CommentReference">
    <w:name w:val="annotation reference"/>
    <w:basedOn w:val="DefaultParagraphFont"/>
    <w:uiPriority w:val="99"/>
    <w:semiHidden/>
    <w:unhideWhenUsed/>
    <w:rsid w:val="00902F19"/>
    <w:rPr>
      <w:sz w:val="16"/>
      <w:szCs w:val="16"/>
    </w:rPr>
  </w:style>
  <w:style w:type="paragraph" w:styleId="CommentText">
    <w:name w:val="annotation text"/>
    <w:basedOn w:val="Normal"/>
    <w:link w:val="CommentTextChar"/>
    <w:uiPriority w:val="99"/>
    <w:unhideWhenUsed/>
    <w:rsid w:val="00902F19"/>
    <w:pPr>
      <w:spacing w:line="240" w:lineRule="auto"/>
    </w:pPr>
    <w:rPr>
      <w:sz w:val="20"/>
      <w:szCs w:val="20"/>
    </w:rPr>
  </w:style>
  <w:style w:type="character" w:customStyle="1" w:styleId="CommentTextChar">
    <w:name w:val="Comment Text Char"/>
    <w:basedOn w:val="DefaultParagraphFont"/>
    <w:link w:val="CommentText"/>
    <w:uiPriority w:val="99"/>
    <w:rsid w:val="00902F19"/>
    <w:rPr>
      <w:sz w:val="20"/>
      <w:szCs w:val="20"/>
    </w:rPr>
  </w:style>
  <w:style w:type="paragraph" w:styleId="CommentSubject">
    <w:name w:val="annotation subject"/>
    <w:basedOn w:val="CommentText"/>
    <w:next w:val="CommentText"/>
    <w:link w:val="CommentSubjectChar"/>
    <w:uiPriority w:val="99"/>
    <w:semiHidden/>
    <w:unhideWhenUsed/>
    <w:rsid w:val="00902F19"/>
    <w:rPr>
      <w:b/>
      <w:bCs/>
    </w:rPr>
  </w:style>
  <w:style w:type="character" w:customStyle="1" w:styleId="CommentSubjectChar">
    <w:name w:val="Comment Subject Char"/>
    <w:basedOn w:val="CommentTextChar"/>
    <w:link w:val="CommentSubject"/>
    <w:uiPriority w:val="99"/>
    <w:semiHidden/>
    <w:rsid w:val="00902F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anada.ca/en/treasury-board-secretariat/services/staffing/qualification-standards/c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Rosita</dc:creator>
  <cp:keywords/>
  <dc:description/>
  <cp:lastModifiedBy>McGrath, Rosalie</cp:lastModifiedBy>
  <cp:revision>2</cp:revision>
  <dcterms:created xsi:type="dcterms:W3CDTF">2023-03-31T19:18:00Z</dcterms:created>
  <dcterms:modified xsi:type="dcterms:W3CDTF">2023-03-31T19:18:00Z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2022-11-28T20:40:23Z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33c12c6c-44a3-4523-af38-74375877ed04</vt:lpwstr>
  </property>
  <property fmtid="{D5CDD505-2E9C-101B-9397-08002B2CF9AE}" pid="8" name="MSIP_Label_3515d617-256d-4284-aedb-1064be1c4b48_ContentBits">
    <vt:lpwstr>0</vt:lpwstr>
  </property>
</Properties>
</file>