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E301D" w:rsidR="00893BC1" w:rsidRPr="005F096E" w:rsidRDefault="06C825C0" w:rsidP="00702F62">
      <w:pPr>
        <w:pStyle w:val="Title"/>
        <w:spacing w:after="240" w:line="259" w:lineRule="auto"/>
        <w:contextualSpacing w:val="0"/>
        <w:rPr>
          <w:rFonts w:asciiTheme="minorHAnsi" w:eastAsiaTheme="minorEastAsia" w:hAnsiTheme="minorHAnsi" w:cstheme="minorBidi"/>
          <w:sz w:val="40"/>
          <w:szCs w:val="40"/>
          <w:lang w:val="fr-CA"/>
        </w:rPr>
      </w:pPr>
      <w:r w:rsidRPr="005F096E">
        <w:rPr>
          <w:rFonts w:asciiTheme="minorHAnsi" w:eastAsiaTheme="minorEastAsia" w:hAnsiTheme="minorHAnsi" w:cstheme="minorBidi"/>
          <w:sz w:val="40"/>
          <w:szCs w:val="40"/>
          <w:lang w:val="fr-CA"/>
        </w:rPr>
        <w:t xml:space="preserve">Orientation sur l’habilitation du soutien accordé aux </w:t>
      </w:r>
      <w:r w:rsidR="005F096E" w:rsidRPr="005F096E">
        <w:rPr>
          <w:rFonts w:asciiTheme="minorHAnsi" w:eastAsiaTheme="minorEastAsia" w:hAnsiTheme="minorHAnsi" w:cstheme="minorBidi"/>
          <w:sz w:val="40"/>
          <w:szCs w:val="40"/>
          <w:lang w:val="fr-CA"/>
        </w:rPr>
        <w:t>ressources humaines</w:t>
      </w:r>
      <w:r w:rsidRPr="005F096E">
        <w:rPr>
          <w:rFonts w:asciiTheme="minorHAnsi" w:eastAsiaTheme="minorEastAsia" w:hAnsiTheme="minorHAnsi" w:cstheme="minorBidi"/>
          <w:sz w:val="40"/>
          <w:szCs w:val="40"/>
          <w:lang w:val="fr-CA"/>
        </w:rPr>
        <w:t xml:space="preserve"> en matière de talents numériques</w:t>
      </w:r>
    </w:p>
    <w:p w14:paraId="06F5F30A" w14:textId="45303349" w:rsidR="5131BC24" w:rsidRPr="00CD4260" w:rsidRDefault="5131BC24" w:rsidP="00CD4260">
      <w:pPr>
        <w:spacing w:after="240"/>
        <w:rPr>
          <w:rFonts w:eastAsiaTheme="minorEastAsia"/>
          <w:color w:val="000000" w:themeColor="text1"/>
          <w:lang w:val="fr-CA"/>
        </w:rPr>
      </w:pPr>
      <w:r w:rsidRPr="00CD4260">
        <w:rPr>
          <w:rFonts w:eastAsiaTheme="minorEastAsia"/>
          <w:color w:val="000000" w:themeColor="text1"/>
          <w:lang w:val="fr-CA"/>
        </w:rPr>
        <w:t xml:space="preserve">Les gestionnaires et les responsables d’initiatives </w:t>
      </w:r>
      <w:r w:rsidR="00F306C1" w:rsidRPr="00CD4260">
        <w:rPr>
          <w:rFonts w:eastAsiaTheme="minorEastAsia"/>
          <w:color w:val="000000" w:themeColor="text1"/>
          <w:lang w:val="fr-CA"/>
        </w:rPr>
        <w:t xml:space="preserve">sur le </w:t>
      </w:r>
      <w:r w:rsidRPr="00CD4260">
        <w:rPr>
          <w:rFonts w:eastAsiaTheme="minorEastAsia"/>
          <w:color w:val="000000" w:themeColor="text1"/>
          <w:lang w:val="fr-CA"/>
        </w:rPr>
        <w:t xml:space="preserve">numérique et </w:t>
      </w:r>
      <w:r w:rsidR="00F306C1" w:rsidRPr="00CD4260">
        <w:rPr>
          <w:rFonts w:eastAsiaTheme="minorEastAsia"/>
          <w:color w:val="000000" w:themeColor="text1"/>
          <w:lang w:val="fr-CA"/>
        </w:rPr>
        <w:t xml:space="preserve">la </w:t>
      </w:r>
      <w:r w:rsidR="005F096E" w:rsidRPr="00CD4260">
        <w:rPr>
          <w:rFonts w:eastAsiaTheme="minorEastAsia"/>
          <w:color w:val="000000" w:themeColor="text1"/>
          <w:lang w:val="fr-CA"/>
        </w:rPr>
        <w:t>technologie de l’information (</w:t>
      </w:r>
      <w:r w:rsidR="00F306C1" w:rsidRPr="00CD4260">
        <w:rPr>
          <w:rFonts w:eastAsiaTheme="minorEastAsia"/>
          <w:color w:val="000000" w:themeColor="text1"/>
          <w:lang w:val="fr-CA"/>
        </w:rPr>
        <w:t>TI</w:t>
      </w:r>
      <w:r w:rsidR="005F096E" w:rsidRPr="00CD4260">
        <w:rPr>
          <w:rFonts w:eastAsiaTheme="minorEastAsia"/>
          <w:color w:val="000000" w:themeColor="text1"/>
          <w:lang w:val="fr-CA"/>
        </w:rPr>
        <w:t>)</w:t>
      </w:r>
      <w:r w:rsidRPr="00CD4260">
        <w:rPr>
          <w:rFonts w:eastAsiaTheme="minorEastAsia"/>
          <w:color w:val="000000" w:themeColor="text1"/>
          <w:lang w:val="fr-CA"/>
        </w:rPr>
        <w:t xml:space="preserve"> doivent collaborer avec leurs conseillers en </w:t>
      </w:r>
      <w:r w:rsidR="005F096E" w:rsidRPr="00CD4260">
        <w:rPr>
          <w:rFonts w:eastAsiaTheme="minorEastAsia"/>
          <w:color w:val="000000" w:themeColor="text1"/>
          <w:lang w:val="fr-CA"/>
        </w:rPr>
        <w:t>matière de ressources humaines</w:t>
      </w:r>
      <w:r w:rsidRPr="00CD4260">
        <w:rPr>
          <w:rFonts w:eastAsiaTheme="minorEastAsia"/>
          <w:color w:val="000000" w:themeColor="text1"/>
          <w:lang w:val="fr-CA"/>
        </w:rPr>
        <w:t xml:space="preserve"> afin de veiller à ce que la structure organisationnelle et les options de recrutement disponibles permettent de fournir des services et des opérations numériques, en équilibrant soigneusement tous les risques liés aux </w:t>
      </w:r>
      <w:r w:rsidR="005F096E" w:rsidRPr="00CD4260">
        <w:rPr>
          <w:rFonts w:eastAsiaTheme="minorEastAsia"/>
          <w:color w:val="000000" w:themeColor="text1"/>
          <w:lang w:val="fr-CA"/>
        </w:rPr>
        <w:t>ressources humaines</w:t>
      </w:r>
      <w:r w:rsidRPr="00CD4260">
        <w:rPr>
          <w:rFonts w:eastAsiaTheme="minorEastAsia"/>
          <w:color w:val="000000" w:themeColor="text1"/>
          <w:lang w:val="fr-CA"/>
        </w:rPr>
        <w:t xml:space="preserve"> par rapport aux risques de non-livraison ou de dépendance artificielle à la sous-traitance.</w:t>
      </w:r>
    </w:p>
    <w:p w14:paraId="14F04442" w14:textId="20190224" w:rsidR="5131BC24" w:rsidRPr="005F096E" w:rsidRDefault="5131BC24" w:rsidP="00CD4260">
      <w:pPr>
        <w:pStyle w:val="ListParagraph"/>
        <w:numPr>
          <w:ilvl w:val="0"/>
          <w:numId w:val="1"/>
        </w:numPr>
        <w:spacing w:after="240"/>
        <w:contextualSpacing w:val="0"/>
        <w:rPr>
          <w:rFonts w:eastAsiaTheme="minorEastAsia"/>
          <w:color w:val="000000" w:themeColor="text1"/>
          <w:lang w:val="fr-CA"/>
        </w:rPr>
      </w:pPr>
      <w:r w:rsidRPr="005F096E">
        <w:rPr>
          <w:rFonts w:eastAsiaTheme="minorEastAsia"/>
          <w:color w:val="000000" w:themeColor="text1"/>
          <w:lang w:val="fr-CA"/>
        </w:rPr>
        <w:t xml:space="preserve">Utiliser, dans la mesure du possible, </w:t>
      </w:r>
      <w:r w:rsidR="00F306C1" w:rsidRPr="005F096E">
        <w:rPr>
          <w:rFonts w:eastAsiaTheme="minorEastAsia"/>
          <w:color w:val="000000" w:themeColor="text1"/>
          <w:lang w:val="fr-CA"/>
        </w:rPr>
        <w:t>l’ensemble de produits génériques sur les</w:t>
      </w:r>
      <w:r w:rsidRPr="005F096E">
        <w:rPr>
          <w:rFonts w:eastAsiaTheme="minorEastAsia"/>
          <w:color w:val="000000" w:themeColor="text1"/>
          <w:lang w:val="fr-CA"/>
        </w:rPr>
        <w:t xml:space="preserve"> </w:t>
      </w:r>
      <w:r w:rsidR="005F096E" w:rsidRPr="005F096E">
        <w:rPr>
          <w:rFonts w:eastAsiaTheme="minorEastAsia"/>
          <w:color w:val="000000" w:themeColor="text1"/>
          <w:lang w:val="fr-CA"/>
        </w:rPr>
        <w:t>ressources humaines</w:t>
      </w:r>
      <w:r w:rsidRPr="005F096E">
        <w:rPr>
          <w:rFonts w:eastAsiaTheme="minorEastAsia"/>
          <w:color w:val="000000" w:themeColor="text1"/>
          <w:lang w:val="fr-CA"/>
        </w:rPr>
        <w:t xml:space="preserve"> pour la collectivité du numérique afin de procéder rapidement et de manière cohérente au processus de classification.</w:t>
      </w:r>
    </w:p>
    <w:p w14:paraId="580E6F7E" w14:textId="56EC0E26" w:rsidR="5131BC24" w:rsidRPr="005F096E" w:rsidRDefault="5131BC24" w:rsidP="00CD4260">
      <w:pPr>
        <w:pStyle w:val="ListParagraph"/>
        <w:numPr>
          <w:ilvl w:val="0"/>
          <w:numId w:val="1"/>
        </w:numPr>
        <w:spacing w:after="240"/>
        <w:contextualSpacing w:val="0"/>
        <w:rPr>
          <w:rFonts w:eastAsiaTheme="minorEastAsia"/>
          <w:lang w:val="fr-CA"/>
        </w:rPr>
      </w:pPr>
      <w:r w:rsidRPr="005F096E">
        <w:rPr>
          <w:rFonts w:eastAsiaTheme="minorEastAsia"/>
          <w:lang w:val="fr-CA"/>
        </w:rPr>
        <w:t xml:space="preserve">Les nominations à durée déterminée sont fortement encouragées pour les ministères afin d’atténuer la dépendance à l’égard de la sous-traitance. </w:t>
      </w:r>
    </w:p>
    <w:p w14:paraId="6D4F1942" w14:textId="12C9CDE0" w:rsidR="5131BC24" w:rsidRPr="005F096E" w:rsidRDefault="5131BC24" w:rsidP="00CD4260">
      <w:pPr>
        <w:pStyle w:val="ListParagraph"/>
        <w:numPr>
          <w:ilvl w:val="0"/>
          <w:numId w:val="1"/>
        </w:numPr>
        <w:spacing w:after="240"/>
        <w:contextualSpacing w:val="0"/>
        <w:rPr>
          <w:rFonts w:eastAsiaTheme="minorEastAsia"/>
          <w:lang w:val="fr-CA"/>
        </w:rPr>
      </w:pPr>
      <w:r w:rsidRPr="005F096E">
        <w:rPr>
          <w:rFonts w:eastAsiaTheme="minorEastAsia"/>
          <w:lang w:val="fr-CA"/>
        </w:rPr>
        <w:t xml:space="preserve">Dans les cas où un contrat est envisagé pour combler une pénurie de talents, le profil linguistique officiel du travail doit être conforme au profil linguistique du travail équivalent au sein du ministère. Les gestionnaires sont encouragés à travailler avec leurs conseillers en </w:t>
      </w:r>
      <w:r w:rsidR="005F096E" w:rsidRPr="005F096E">
        <w:rPr>
          <w:rFonts w:eastAsiaTheme="minorEastAsia"/>
          <w:lang w:val="fr-CA"/>
        </w:rPr>
        <w:t>matière de ressources humaines</w:t>
      </w:r>
      <w:r w:rsidRPr="005F096E">
        <w:rPr>
          <w:rFonts w:eastAsiaTheme="minorEastAsia"/>
          <w:lang w:val="fr-CA"/>
        </w:rPr>
        <w:t xml:space="preserve">, en faisant appel au </w:t>
      </w:r>
      <w:r w:rsidR="005F096E" w:rsidRPr="005F096E">
        <w:rPr>
          <w:rFonts w:eastAsiaTheme="minorEastAsia"/>
          <w:lang w:val="fr-CA"/>
        </w:rPr>
        <w:t>Bureau de la dirigeante principale de l’information (BDPI)</w:t>
      </w:r>
      <w:r w:rsidRPr="005F096E">
        <w:rPr>
          <w:rFonts w:eastAsiaTheme="minorEastAsia"/>
          <w:lang w:val="fr-CA"/>
        </w:rPr>
        <w:t xml:space="preserve"> si nécessaire, pour tirer parti des génériques et éviter les problèmes d’équité linguistique entre la dotation et l</w:t>
      </w:r>
      <w:r w:rsidR="00F306C1" w:rsidRPr="005F096E">
        <w:rPr>
          <w:rFonts w:eastAsiaTheme="minorEastAsia"/>
          <w:lang w:val="fr-CA"/>
        </w:rPr>
        <w:t>’octroi de contrats</w:t>
      </w:r>
      <w:r w:rsidRPr="005F096E">
        <w:rPr>
          <w:rFonts w:eastAsiaTheme="minorEastAsia"/>
          <w:lang w:val="fr-CA"/>
        </w:rPr>
        <w:t>.</w:t>
      </w:r>
    </w:p>
    <w:p w14:paraId="768D1C21" w14:textId="7871007D" w:rsidR="5131BC24" w:rsidRPr="005F096E" w:rsidRDefault="5131BC24" w:rsidP="00CD4260">
      <w:pPr>
        <w:pStyle w:val="ListParagraph"/>
        <w:numPr>
          <w:ilvl w:val="0"/>
          <w:numId w:val="1"/>
        </w:numPr>
        <w:spacing w:after="240"/>
        <w:contextualSpacing w:val="0"/>
        <w:rPr>
          <w:rFonts w:eastAsiaTheme="minorEastAsia"/>
          <w:color w:val="000000" w:themeColor="text1"/>
          <w:lang w:val="fr-CA"/>
        </w:rPr>
      </w:pPr>
      <w:r w:rsidRPr="005F096E">
        <w:rPr>
          <w:rFonts w:eastAsiaTheme="minorEastAsia"/>
          <w:color w:val="000000" w:themeColor="text1"/>
          <w:lang w:val="fr-CA"/>
        </w:rPr>
        <w:t xml:space="preserve">En cas de pénurie de talents du numérique, les gestionnaires sont encouragés à travailler avec leurs conseillers en </w:t>
      </w:r>
      <w:r w:rsidR="005F096E" w:rsidRPr="005F096E">
        <w:rPr>
          <w:rFonts w:eastAsiaTheme="minorEastAsia"/>
          <w:color w:val="000000" w:themeColor="text1"/>
          <w:lang w:val="fr-CA"/>
        </w:rPr>
        <w:t>matière de ressources humaines</w:t>
      </w:r>
      <w:r w:rsidRPr="005F096E">
        <w:rPr>
          <w:rFonts w:eastAsiaTheme="minorEastAsia"/>
          <w:color w:val="000000" w:themeColor="text1"/>
          <w:lang w:val="fr-CA"/>
        </w:rPr>
        <w:t xml:space="preserve"> pour envisager de tirer parti de la flexibilité offerte par le processus de dotation non impérative, le cas échéant.</w:t>
      </w:r>
    </w:p>
    <w:p w14:paraId="3A174D58" w14:textId="301D8C8E" w:rsidR="5131BC24" w:rsidRPr="005F096E" w:rsidRDefault="5131BC24" w:rsidP="00CD4260">
      <w:pPr>
        <w:pStyle w:val="ListParagraph"/>
        <w:numPr>
          <w:ilvl w:val="0"/>
          <w:numId w:val="1"/>
        </w:numPr>
        <w:spacing w:after="240"/>
        <w:contextualSpacing w:val="0"/>
        <w:rPr>
          <w:rFonts w:eastAsiaTheme="minorEastAsia"/>
          <w:color w:val="000000" w:themeColor="text1"/>
          <w:lang w:val="fr-CA"/>
        </w:rPr>
      </w:pPr>
      <w:r w:rsidRPr="005F096E">
        <w:rPr>
          <w:rFonts w:eastAsiaTheme="minorEastAsia"/>
          <w:color w:val="000000" w:themeColor="text1"/>
          <w:lang w:val="fr-CA"/>
        </w:rPr>
        <w:t xml:space="preserve">La formation en seconde langue officielle pour les talents numériques est fortement encouragée en tant que mécanisme de soutien au </w:t>
      </w:r>
      <w:r w:rsidR="005F096E" w:rsidRPr="005F096E">
        <w:rPr>
          <w:rFonts w:eastAsiaTheme="minorEastAsia"/>
          <w:color w:val="000000" w:themeColor="text1"/>
          <w:lang w:val="fr-CA"/>
        </w:rPr>
        <w:t>perfectionnement</w:t>
      </w:r>
      <w:r w:rsidRPr="005F096E">
        <w:rPr>
          <w:rFonts w:eastAsiaTheme="minorEastAsia"/>
          <w:color w:val="000000" w:themeColor="text1"/>
          <w:lang w:val="fr-CA"/>
        </w:rPr>
        <w:t xml:space="preserve"> des employés et à la constitution d’une solide main-d’œuvre numérique bilingue. </w:t>
      </w:r>
    </w:p>
    <w:p w14:paraId="128EEDDB" w14:textId="1868BA8C" w:rsidR="5131BC24" w:rsidRPr="005F096E" w:rsidRDefault="5131BC24" w:rsidP="00CD4260">
      <w:pPr>
        <w:pStyle w:val="ListParagraph"/>
        <w:numPr>
          <w:ilvl w:val="0"/>
          <w:numId w:val="1"/>
        </w:numPr>
        <w:spacing w:after="240"/>
        <w:contextualSpacing w:val="0"/>
        <w:rPr>
          <w:rFonts w:eastAsiaTheme="minorEastAsia"/>
          <w:lang w:val="fr-CA"/>
        </w:rPr>
      </w:pPr>
      <w:r w:rsidRPr="005F096E">
        <w:rPr>
          <w:rFonts w:eastAsiaTheme="minorEastAsia"/>
          <w:lang w:val="fr-CA"/>
        </w:rPr>
        <w:t xml:space="preserve">Dans les cas où les gestionnaires </w:t>
      </w:r>
      <w:r w:rsidR="00F306C1" w:rsidRPr="005F096E">
        <w:rPr>
          <w:rFonts w:eastAsiaTheme="minorEastAsia"/>
          <w:lang w:val="fr-CA"/>
        </w:rPr>
        <w:t>sont confrontés à</w:t>
      </w:r>
      <w:r w:rsidRPr="005F096E">
        <w:rPr>
          <w:rFonts w:eastAsiaTheme="minorEastAsia"/>
          <w:lang w:val="fr-CA"/>
        </w:rPr>
        <w:t xml:space="preserve"> des </w:t>
      </w:r>
      <w:r w:rsidR="005F096E" w:rsidRPr="005F096E">
        <w:rPr>
          <w:rFonts w:eastAsiaTheme="minorEastAsia"/>
          <w:lang w:val="fr-CA"/>
        </w:rPr>
        <w:t xml:space="preserve">défis en matière </w:t>
      </w:r>
      <w:r w:rsidRPr="005F096E">
        <w:rPr>
          <w:rFonts w:eastAsiaTheme="minorEastAsia"/>
          <w:lang w:val="fr-CA"/>
        </w:rPr>
        <w:t xml:space="preserve">de recrutement, ils sont encouragés à utiliser les équivalences d’exigences en matière d’éducation qui leur sont offertes en vertu des </w:t>
      </w:r>
      <w:hyperlink r:id="rId7">
        <w:r w:rsidRPr="005F096E">
          <w:rPr>
            <w:rStyle w:val="Hyperlink"/>
            <w:rFonts w:eastAsiaTheme="minorEastAsia"/>
            <w:lang w:val="fr-CA"/>
          </w:rPr>
          <w:t>Normes de qualification pour l’administration publique centrale</w:t>
        </w:r>
      </w:hyperlink>
      <w:r w:rsidRPr="005F096E">
        <w:rPr>
          <w:rFonts w:eastAsiaTheme="minorEastAsia"/>
          <w:lang w:val="fr-CA"/>
        </w:rPr>
        <w:t>.</w:t>
      </w:r>
    </w:p>
    <w:p w14:paraId="1BC627EA" w14:textId="46007BF5" w:rsidR="5131BC24" w:rsidRPr="005F096E" w:rsidRDefault="5131BC24" w:rsidP="00CD4260">
      <w:pPr>
        <w:pStyle w:val="ListParagraph"/>
        <w:numPr>
          <w:ilvl w:val="0"/>
          <w:numId w:val="1"/>
        </w:numPr>
        <w:spacing w:after="240"/>
        <w:contextualSpacing w:val="0"/>
        <w:rPr>
          <w:rFonts w:eastAsiaTheme="minorEastAsia"/>
          <w:lang w:val="fr-CA"/>
        </w:rPr>
      </w:pPr>
      <w:r w:rsidRPr="005F096E">
        <w:rPr>
          <w:rFonts w:eastAsiaTheme="minorEastAsia"/>
          <w:lang w:val="fr-CA"/>
        </w:rPr>
        <w:t>En cas de pénurie de talents du numérique, les responsables sont vivement encouragés à envisager des modalités de travail flexibles, comme le travail à distance, dans le cadre des paramètres des directives de leur ministère.</w:t>
      </w:r>
    </w:p>
    <w:p w14:paraId="03E22F7C" w14:textId="33536398" w:rsidR="5131BC24" w:rsidRPr="005F096E" w:rsidRDefault="5131BC24" w:rsidP="00702F62">
      <w:pPr>
        <w:pStyle w:val="ListParagraph"/>
        <w:numPr>
          <w:ilvl w:val="0"/>
          <w:numId w:val="1"/>
        </w:numPr>
        <w:spacing w:after="240"/>
        <w:contextualSpacing w:val="0"/>
        <w:rPr>
          <w:rFonts w:eastAsiaTheme="minorEastAsia"/>
          <w:color w:val="000000" w:themeColor="text1"/>
          <w:lang w:val="fr-CA"/>
        </w:rPr>
      </w:pPr>
      <w:r w:rsidRPr="005F096E">
        <w:rPr>
          <w:rFonts w:eastAsiaTheme="minorEastAsia"/>
          <w:color w:val="000000" w:themeColor="text1"/>
          <w:lang w:val="fr-CA"/>
        </w:rPr>
        <w:t xml:space="preserve">Dans les cas où les opérations sont financées selon le principe du recouvrement des coûts, ce qui rend les nominations pour une période indéterminée peu pratique, les ministères sont fortement encouragés à maintenir un inventaire raisonnable de postes à durée déterminée vacants afin de </w:t>
      </w:r>
      <w:r w:rsidRPr="005F096E">
        <w:rPr>
          <w:rFonts w:eastAsiaTheme="minorEastAsia"/>
          <w:color w:val="000000" w:themeColor="text1"/>
          <w:lang w:val="fr-CA"/>
        </w:rPr>
        <w:lastRenderedPageBreak/>
        <w:t>permettre la dotation tout en équilibrant le risque financier, sans créer une dépendance artificielle à l’égard des contrats.</w:t>
      </w:r>
    </w:p>
    <w:p w14:paraId="3F01A6A8" w14:textId="2D53AB5D" w:rsidR="5131BC24" w:rsidRPr="005F096E" w:rsidRDefault="5131BC24" w:rsidP="00702F62">
      <w:pPr>
        <w:pStyle w:val="ListParagraph"/>
        <w:numPr>
          <w:ilvl w:val="0"/>
          <w:numId w:val="1"/>
        </w:numPr>
        <w:spacing w:after="240"/>
        <w:contextualSpacing w:val="0"/>
        <w:rPr>
          <w:rFonts w:eastAsiaTheme="minorEastAsia"/>
          <w:lang w:val="fr-CA"/>
        </w:rPr>
      </w:pPr>
      <w:r w:rsidRPr="005F096E">
        <w:rPr>
          <w:rFonts w:eastAsiaTheme="minorEastAsia"/>
          <w:lang w:val="fr-CA"/>
        </w:rPr>
        <w:t xml:space="preserve">Dans les cas où un entrepreneur travaille avec un ministère depuis plus de trois ans dans le cadre du même contrat ou dans le même rôle, les ministères sont tenus d’en informer le BDPI par l’entremise de l’enquête annuelle sur les talents numériques. En </w:t>
      </w:r>
      <w:r w:rsidR="005F096E" w:rsidRPr="005F096E">
        <w:rPr>
          <w:rFonts w:eastAsiaTheme="minorEastAsia"/>
          <w:lang w:val="fr-CA"/>
        </w:rPr>
        <w:t>guise de pratique exemplaire</w:t>
      </w:r>
      <w:r w:rsidRPr="005F096E">
        <w:rPr>
          <w:rFonts w:eastAsiaTheme="minorEastAsia"/>
          <w:lang w:val="fr-CA"/>
        </w:rPr>
        <w:t>, les ministères sont fortement encouragés à envisager des approches de rechange pour la recherche de talents, telles que la nomination de personnel.</w:t>
      </w:r>
    </w:p>
    <w:sectPr w:rsidR="5131BC24" w:rsidRPr="005F096E" w:rsidSect="00574B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CC92" w14:textId="77777777" w:rsidR="009A6E69" w:rsidRDefault="009A6E69">
      <w:pPr>
        <w:spacing w:after="0" w:line="240" w:lineRule="auto"/>
      </w:pPr>
      <w:r>
        <w:separator/>
      </w:r>
    </w:p>
  </w:endnote>
  <w:endnote w:type="continuationSeparator" w:id="0">
    <w:p w14:paraId="38561595" w14:textId="77777777" w:rsidR="009A6E69" w:rsidRDefault="009A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E560" w14:textId="77777777" w:rsidR="00D6050E" w:rsidRDefault="00D60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097"/>
      <w:gridCol w:w="4197"/>
    </w:tblGrid>
    <w:tr w:rsidR="00C25094" w14:paraId="589F935D" w14:textId="77777777" w:rsidTr="00C25094">
      <w:trPr>
        <w:trHeight w:val="675"/>
      </w:trPr>
      <w:tc>
        <w:tcPr>
          <w:tcW w:w="2704" w:type="dxa"/>
        </w:tcPr>
        <w:p w14:paraId="6907BB81" w14:textId="77777777" w:rsidR="00C25094" w:rsidRDefault="00C25094" w:rsidP="00C25094">
          <w:pPr>
            <w:pStyle w:val="Footer"/>
          </w:pPr>
        </w:p>
      </w:tc>
      <w:tc>
        <w:tcPr>
          <w:tcW w:w="3097" w:type="dxa"/>
          <w:vAlign w:val="center"/>
        </w:tcPr>
        <w:sdt>
          <w:sdtPr>
            <w:id w:val="1508551898"/>
            <w:docPartObj>
              <w:docPartGallery w:val="Page Numbers (Bottom of Page)"/>
              <w:docPartUnique/>
            </w:docPartObj>
          </w:sdtPr>
          <w:sdtEndPr/>
          <w:sdtContent>
            <w:sdt>
              <w:sdtPr>
                <w:id w:val="-1770076360"/>
                <w:docPartObj>
                  <w:docPartGallery w:val="Page Numbers (Top of Page)"/>
                  <w:docPartUnique/>
                </w:docPartObj>
              </w:sdtPr>
              <w:sdtEndPr/>
              <w:sdtContent>
                <w:p w14:paraId="68B14556" w14:textId="77777777" w:rsidR="00C25094" w:rsidRDefault="00C25094" w:rsidP="00C25094">
                  <w:pPr>
                    <w:pStyle w:val="Footer"/>
                    <w:jc w:val="center"/>
                  </w:pPr>
                  <w:r w:rsidRPr="00281FB7">
                    <w:t xml:space="preserve">Page </w:t>
                  </w:r>
                  <w:r w:rsidRPr="00281FB7">
                    <w:rPr>
                      <w:sz w:val="24"/>
                      <w:szCs w:val="24"/>
                    </w:rPr>
                    <w:fldChar w:fldCharType="begin"/>
                  </w:r>
                  <w:r w:rsidRPr="00281FB7">
                    <w:instrText xml:space="preserve"> PAGE </w:instrText>
                  </w:r>
                  <w:r w:rsidRPr="00281FB7">
                    <w:rPr>
                      <w:sz w:val="24"/>
                      <w:szCs w:val="24"/>
                    </w:rPr>
                    <w:fldChar w:fldCharType="separate"/>
                  </w:r>
                  <w:r>
                    <w:rPr>
                      <w:sz w:val="24"/>
                      <w:szCs w:val="24"/>
                    </w:rPr>
                    <w:t>2</w:t>
                  </w:r>
                  <w:r w:rsidRPr="00281FB7">
                    <w:rPr>
                      <w:sz w:val="24"/>
                      <w:szCs w:val="24"/>
                    </w:rPr>
                    <w:fldChar w:fldCharType="end"/>
                  </w:r>
                  <w:r w:rsidRPr="00281FB7">
                    <w:t xml:space="preserve"> </w:t>
                  </w:r>
                  <w:r>
                    <w:t>de</w:t>
                  </w:r>
                  <w:r w:rsidRPr="00281FB7">
                    <w:t xml:space="preserve"> </w:t>
                  </w:r>
                  <w:r>
                    <w:fldChar w:fldCharType="begin"/>
                  </w:r>
                  <w:r>
                    <w:instrText>NUMPAGES</w:instrText>
                  </w:r>
                  <w:r>
                    <w:fldChar w:fldCharType="separate"/>
                  </w:r>
                  <w:r>
                    <w:t>3</w:t>
                  </w:r>
                  <w:r>
                    <w:fldChar w:fldCharType="end"/>
                  </w:r>
                </w:p>
              </w:sdtContent>
            </w:sdt>
          </w:sdtContent>
        </w:sdt>
      </w:tc>
      <w:tc>
        <w:tcPr>
          <w:tcW w:w="4197" w:type="dxa"/>
          <w:vAlign w:val="center"/>
        </w:tcPr>
        <w:p w14:paraId="73BDEFA5" w14:textId="427CC159" w:rsidR="00C25094" w:rsidRDefault="00C25094" w:rsidP="00C25094">
          <w:pPr>
            <w:pStyle w:val="Footer"/>
            <w:jc w:val="right"/>
          </w:pPr>
        </w:p>
      </w:tc>
    </w:tr>
  </w:tbl>
  <w:p w14:paraId="60209F19" w14:textId="2DC1DEBE" w:rsidR="0B727533" w:rsidRDefault="0B727533" w:rsidP="0B7275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097"/>
      <w:gridCol w:w="4197"/>
    </w:tblGrid>
    <w:tr w:rsidR="00D6050E" w14:paraId="13BB72A6" w14:textId="77777777" w:rsidTr="00894545">
      <w:trPr>
        <w:trHeight w:val="675"/>
      </w:trPr>
      <w:tc>
        <w:tcPr>
          <w:tcW w:w="2704" w:type="dxa"/>
        </w:tcPr>
        <w:p w14:paraId="150993BC" w14:textId="77777777" w:rsidR="00D6050E" w:rsidRDefault="00D6050E" w:rsidP="00D6050E">
          <w:pPr>
            <w:pStyle w:val="Footer"/>
          </w:pPr>
        </w:p>
      </w:tc>
      <w:tc>
        <w:tcPr>
          <w:tcW w:w="3097" w:type="dxa"/>
          <w:vAlign w:val="center"/>
        </w:tcPr>
        <w:sdt>
          <w:sdtPr>
            <w:id w:val="-1754422358"/>
            <w:docPartObj>
              <w:docPartGallery w:val="Page Numbers (Bottom of Page)"/>
              <w:docPartUnique/>
            </w:docPartObj>
          </w:sdtPr>
          <w:sdtContent>
            <w:sdt>
              <w:sdtPr>
                <w:id w:val="371203103"/>
                <w:docPartObj>
                  <w:docPartGallery w:val="Page Numbers (Top of Page)"/>
                  <w:docPartUnique/>
                </w:docPartObj>
              </w:sdtPr>
              <w:sdtContent>
                <w:p w14:paraId="2B7561F9" w14:textId="77777777" w:rsidR="00D6050E" w:rsidRDefault="00D6050E" w:rsidP="00D6050E">
                  <w:pPr>
                    <w:pStyle w:val="Footer"/>
                    <w:jc w:val="center"/>
                  </w:pPr>
                  <w:r w:rsidRPr="00281FB7">
                    <w:t xml:space="preserve">Page </w:t>
                  </w:r>
                  <w:r w:rsidRPr="00281FB7">
                    <w:rPr>
                      <w:sz w:val="24"/>
                      <w:szCs w:val="24"/>
                    </w:rPr>
                    <w:fldChar w:fldCharType="begin"/>
                  </w:r>
                  <w:r w:rsidRPr="00281FB7">
                    <w:instrText xml:space="preserve"> PAGE </w:instrText>
                  </w:r>
                  <w:r w:rsidRPr="00281FB7">
                    <w:rPr>
                      <w:sz w:val="24"/>
                      <w:szCs w:val="24"/>
                    </w:rPr>
                    <w:fldChar w:fldCharType="separate"/>
                  </w:r>
                  <w:r>
                    <w:rPr>
                      <w:sz w:val="24"/>
                      <w:szCs w:val="24"/>
                    </w:rPr>
                    <w:t>2</w:t>
                  </w:r>
                  <w:r w:rsidRPr="00281FB7">
                    <w:rPr>
                      <w:sz w:val="24"/>
                      <w:szCs w:val="24"/>
                    </w:rPr>
                    <w:fldChar w:fldCharType="end"/>
                  </w:r>
                  <w:r w:rsidRPr="00281FB7">
                    <w:t xml:space="preserve"> </w:t>
                  </w:r>
                  <w:r>
                    <w:t>de</w:t>
                  </w:r>
                  <w:r w:rsidRPr="00281FB7">
                    <w:t xml:space="preserve"> </w:t>
                  </w:r>
                  <w:r>
                    <w:fldChar w:fldCharType="begin"/>
                  </w:r>
                  <w:r>
                    <w:instrText>NUMPAGES</w:instrText>
                  </w:r>
                  <w:r>
                    <w:fldChar w:fldCharType="separate"/>
                  </w:r>
                  <w:r>
                    <w:t>3</w:t>
                  </w:r>
                  <w:r>
                    <w:fldChar w:fldCharType="end"/>
                  </w:r>
                </w:p>
              </w:sdtContent>
            </w:sdt>
          </w:sdtContent>
        </w:sdt>
      </w:tc>
      <w:tc>
        <w:tcPr>
          <w:tcW w:w="4197" w:type="dxa"/>
          <w:vAlign w:val="center"/>
        </w:tcPr>
        <w:p w14:paraId="513C5CA8" w14:textId="77777777" w:rsidR="00D6050E" w:rsidRDefault="00D6050E" w:rsidP="00D6050E">
          <w:pPr>
            <w:pStyle w:val="Footer"/>
            <w:jc w:val="right"/>
          </w:pPr>
          <w:r>
            <w:rPr>
              <w:noProof/>
            </w:rPr>
            <w:drawing>
              <wp:inline distT="0" distB="0" distL="0" distR="0" wp14:anchorId="192A0713" wp14:editId="7C5E234A">
                <wp:extent cx="1318161" cy="290383"/>
                <wp:effectExtent l="0" t="0" r="0" b="0"/>
                <wp:docPr id="2" name="Picture 2" descr="Mot symbole duCanada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ot symbole duCanada ">
                          <a:extLst>
                            <a:ext uri="{C183D7F6-B498-43B3-948B-1728B52AA6E4}">
                              <adec:decorative xmlns:adec="http://schemas.microsoft.com/office/drawing/2017/decorative" val="0"/>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1808" b="17449"/>
                        <a:stretch/>
                      </pic:blipFill>
                      <pic:spPr bwMode="auto">
                        <a:xfrm>
                          <a:off x="0" y="0"/>
                          <a:ext cx="1325651" cy="2920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616E2B9" w14:textId="77777777" w:rsidR="00D6050E" w:rsidRDefault="00D60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6887" w14:textId="77777777" w:rsidR="009A6E69" w:rsidRDefault="009A6E69">
      <w:pPr>
        <w:spacing w:after="0" w:line="240" w:lineRule="auto"/>
      </w:pPr>
      <w:r>
        <w:separator/>
      </w:r>
    </w:p>
  </w:footnote>
  <w:footnote w:type="continuationSeparator" w:id="0">
    <w:p w14:paraId="7672A2E6" w14:textId="77777777" w:rsidR="009A6E69" w:rsidRDefault="009A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D49B" w14:textId="77777777" w:rsidR="00D6050E" w:rsidRDefault="00D60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09" w:type="pc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40"/>
      <w:gridCol w:w="2450"/>
    </w:tblGrid>
    <w:tr w:rsidR="003663A1" w:rsidRPr="00FF7E38" w14:paraId="329B3EE3" w14:textId="77777777" w:rsidTr="00DF6052">
      <w:trPr>
        <w:trHeight w:val="861"/>
      </w:trPr>
      <w:tc>
        <w:tcPr>
          <w:tcW w:w="3667" w:type="pct"/>
        </w:tcPr>
        <w:p w14:paraId="41036A19" w14:textId="6BC9EFAC" w:rsidR="003663A1" w:rsidRPr="00AE38B6" w:rsidRDefault="003663A1" w:rsidP="00DF6052">
          <w:pPr>
            <w:pStyle w:val="Header"/>
            <w:ind w:left="175"/>
            <w:rPr>
              <w:lang w:val="fr-CA"/>
            </w:rPr>
          </w:pPr>
          <w:r w:rsidRPr="00AE38B6">
            <w:rPr>
              <w:lang w:val="fr-CA"/>
            </w:rPr>
            <w:t xml:space="preserve">Orientation sur l’habilitation du soutien accordé aux </w:t>
          </w:r>
          <w:r>
            <w:rPr>
              <w:lang w:val="fr-CA"/>
            </w:rPr>
            <w:t>ressources humaines</w:t>
          </w:r>
          <w:r w:rsidRPr="00AE38B6">
            <w:rPr>
              <w:lang w:val="fr-CA"/>
            </w:rPr>
            <w:t xml:space="preserve"> en matière de talents numériques</w:t>
          </w:r>
        </w:p>
      </w:tc>
      <w:tc>
        <w:tcPr>
          <w:tcW w:w="1333" w:type="pct"/>
        </w:tcPr>
        <w:p w14:paraId="68CD9A09" w14:textId="70B8AD7D" w:rsidR="003663A1" w:rsidRPr="00FF7E38" w:rsidRDefault="003663A1" w:rsidP="003663A1">
          <w:pPr>
            <w:pStyle w:val="Header"/>
            <w:jc w:val="right"/>
            <w:rPr>
              <w:sz w:val="20"/>
              <w:szCs w:val="20"/>
              <w:lang w:val="fr-CA"/>
            </w:rPr>
          </w:pPr>
          <w:r w:rsidRPr="00FF7E38">
            <w:rPr>
              <w:sz w:val="20"/>
              <w:szCs w:val="20"/>
              <w:lang w:val="fr-CA"/>
            </w:rPr>
            <w:t>Version finale</w:t>
          </w:r>
        </w:p>
      </w:tc>
    </w:tr>
  </w:tbl>
  <w:p w14:paraId="7C3D6283" w14:textId="7678591A" w:rsidR="0B727533" w:rsidRPr="00AE38B6" w:rsidRDefault="0B727533" w:rsidP="0B727533">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8"/>
      <w:gridCol w:w="2262"/>
    </w:tblGrid>
    <w:tr w:rsidR="005708A1" w:rsidRPr="00FF7E38" w14:paraId="6C7D6834" w14:textId="77777777" w:rsidTr="00894545">
      <w:tc>
        <w:tcPr>
          <w:tcW w:w="7088" w:type="dxa"/>
        </w:tcPr>
        <w:p w14:paraId="25A4AB6A" w14:textId="77777777" w:rsidR="005708A1" w:rsidRPr="00AE38B6" w:rsidRDefault="005708A1" w:rsidP="005708A1">
          <w:pPr>
            <w:pStyle w:val="Header"/>
            <w:rPr>
              <w:lang w:val="fr-CA"/>
            </w:rPr>
          </w:pPr>
          <w:r>
            <w:rPr>
              <w:noProof/>
            </w:rPr>
            <w:drawing>
              <wp:inline distT="0" distB="0" distL="0" distR="0" wp14:anchorId="2213774C" wp14:editId="5FD4615E">
                <wp:extent cx="3191704" cy="376603"/>
                <wp:effectExtent l="0" t="0" r="8890" b="0"/>
                <wp:docPr id="12" name="Picture 12" descr="Signature du Conseil du Trésor du Canada (S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du Conseil du Trésor du Canada (SCT). "/>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496" t="26599" r="11819"/>
                        <a:stretch/>
                      </pic:blipFill>
                      <pic:spPr bwMode="auto">
                        <a:xfrm>
                          <a:off x="0" y="0"/>
                          <a:ext cx="3215212" cy="3793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62" w:type="dxa"/>
        </w:tcPr>
        <w:p w14:paraId="3950D162" w14:textId="77777777" w:rsidR="005708A1" w:rsidRPr="00FF7E38" w:rsidRDefault="005708A1" w:rsidP="005708A1">
          <w:pPr>
            <w:pStyle w:val="Header"/>
            <w:jc w:val="right"/>
            <w:rPr>
              <w:sz w:val="20"/>
              <w:szCs w:val="20"/>
              <w:lang w:val="fr-CA"/>
            </w:rPr>
          </w:pPr>
          <w:r w:rsidRPr="00FF7E38">
            <w:rPr>
              <w:sz w:val="20"/>
              <w:szCs w:val="20"/>
              <w:lang w:val="fr-CA"/>
            </w:rPr>
            <w:t>Version finale</w:t>
          </w:r>
        </w:p>
      </w:tc>
    </w:tr>
  </w:tbl>
  <w:p w14:paraId="57A16503" w14:textId="77777777" w:rsidR="00964B18" w:rsidRDefault="00964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DADC"/>
    <w:multiLevelType w:val="hybridMultilevel"/>
    <w:tmpl w:val="F62E0254"/>
    <w:lvl w:ilvl="0" w:tplc="A9220926">
      <w:start w:val="1"/>
      <w:numFmt w:val="decimal"/>
      <w:lvlText w:val="%1."/>
      <w:lvlJc w:val="left"/>
      <w:pPr>
        <w:ind w:left="720" w:hanging="360"/>
      </w:pPr>
    </w:lvl>
    <w:lvl w:ilvl="1" w:tplc="78AE253C">
      <w:start w:val="1"/>
      <w:numFmt w:val="upperLetter"/>
      <w:lvlText w:val="%2."/>
      <w:lvlJc w:val="left"/>
      <w:pPr>
        <w:ind w:left="1440" w:hanging="360"/>
      </w:pPr>
    </w:lvl>
    <w:lvl w:ilvl="2" w:tplc="F4029C32">
      <w:start w:val="1"/>
      <w:numFmt w:val="upperLetter"/>
      <w:lvlText w:val="%3."/>
      <w:lvlJc w:val="left"/>
      <w:pPr>
        <w:ind w:left="2160" w:hanging="180"/>
      </w:pPr>
    </w:lvl>
    <w:lvl w:ilvl="3" w:tplc="93966A86">
      <w:start w:val="1"/>
      <w:numFmt w:val="decimal"/>
      <w:lvlText w:val="%4."/>
      <w:lvlJc w:val="left"/>
      <w:pPr>
        <w:ind w:left="2880" w:hanging="360"/>
      </w:pPr>
    </w:lvl>
    <w:lvl w:ilvl="4" w:tplc="EE12E89E">
      <w:start w:val="1"/>
      <w:numFmt w:val="lowerLetter"/>
      <w:lvlText w:val="%5."/>
      <w:lvlJc w:val="left"/>
      <w:pPr>
        <w:ind w:left="3600" w:hanging="360"/>
      </w:pPr>
    </w:lvl>
    <w:lvl w:ilvl="5" w:tplc="A1DC0CA6">
      <w:start w:val="1"/>
      <w:numFmt w:val="lowerRoman"/>
      <w:lvlText w:val="%6."/>
      <w:lvlJc w:val="right"/>
      <w:pPr>
        <w:ind w:left="4320" w:hanging="180"/>
      </w:pPr>
    </w:lvl>
    <w:lvl w:ilvl="6" w:tplc="9F82C5B2">
      <w:start w:val="1"/>
      <w:numFmt w:val="decimal"/>
      <w:lvlText w:val="%7."/>
      <w:lvlJc w:val="left"/>
      <w:pPr>
        <w:ind w:left="5040" w:hanging="360"/>
      </w:pPr>
    </w:lvl>
    <w:lvl w:ilvl="7" w:tplc="F8F8F4DC">
      <w:start w:val="1"/>
      <w:numFmt w:val="lowerLetter"/>
      <w:lvlText w:val="%8."/>
      <w:lvlJc w:val="left"/>
      <w:pPr>
        <w:ind w:left="5760" w:hanging="360"/>
      </w:pPr>
    </w:lvl>
    <w:lvl w:ilvl="8" w:tplc="42481774">
      <w:start w:val="1"/>
      <w:numFmt w:val="lowerRoman"/>
      <w:lvlText w:val="%9."/>
      <w:lvlJc w:val="right"/>
      <w:pPr>
        <w:ind w:left="6480" w:hanging="180"/>
      </w:pPr>
    </w:lvl>
  </w:abstractNum>
  <w:abstractNum w:abstractNumId="1" w15:restartNumberingAfterBreak="0">
    <w:nsid w:val="143E097F"/>
    <w:multiLevelType w:val="hybridMultilevel"/>
    <w:tmpl w:val="325A13C0"/>
    <w:lvl w:ilvl="0" w:tplc="0706BC3A">
      <w:start w:val="1"/>
      <w:numFmt w:val="bullet"/>
      <w:lvlText w:val=""/>
      <w:lvlJc w:val="left"/>
      <w:pPr>
        <w:ind w:left="360" w:hanging="360"/>
      </w:pPr>
      <w:rPr>
        <w:rFonts w:ascii="Symbol" w:hAnsi="Symbol" w:hint="default"/>
      </w:rPr>
    </w:lvl>
    <w:lvl w:ilvl="1" w:tplc="82709D60">
      <w:start w:val="1"/>
      <w:numFmt w:val="bullet"/>
      <w:lvlText w:val="o"/>
      <w:lvlJc w:val="left"/>
      <w:pPr>
        <w:ind w:left="1080" w:hanging="360"/>
      </w:pPr>
      <w:rPr>
        <w:rFonts w:ascii="Courier New" w:hAnsi="Courier New" w:hint="default"/>
      </w:rPr>
    </w:lvl>
    <w:lvl w:ilvl="2" w:tplc="0D804DE2">
      <w:start w:val="1"/>
      <w:numFmt w:val="bullet"/>
      <w:lvlText w:val=""/>
      <w:lvlJc w:val="left"/>
      <w:pPr>
        <w:ind w:left="1800" w:hanging="360"/>
      </w:pPr>
      <w:rPr>
        <w:rFonts w:ascii="Wingdings" w:hAnsi="Wingdings" w:hint="default"/>
      </w:rPr>
    </w:lvl>
    <w:lvl w:ilvl="3" w:tplc="2C227BA0">
      <w:start w:val="1"/>
      <w:numFmt w:val="bullet"/>
      <w:lvlText w:val=""/>
      <w:lvlJc w:val="left"/>
      <w:pPr>
        <w:ind w:left="2520" w:hanging="360"/>
      </w:pPr>
      <w:rPr>
        <w:rFonts w:ascii="Symbol" w:hAnsi="Symbol" w:hint="default"/>
      </w:rPr>
    </w:lvl>
    <w:lvl w:ilvl="4" w:tplc="1BECAC52">
      <w:start w:val="1"/>
      <w:numFmt w:val="bullet"/>
      <w:lvlText w:val="o"/>
      <w:lvlJc w:val="left"/>
      <w:pPr>
        <w:ind w:left="3240" w:hanging="360"/>
      </w:pPr>
      <w:rPr>
        <w:rFonts w:ascii="Courier New" w:hAnsi="Courier New" w:hint="default"/>
      </w:rPr>
    </w:lvl>
    <w:lvl w:ilvl="5" w:tplc="44EEEB76">
      <w:start w:val="1"/>
      <w:numFmt w:val="bullet"/>
      <w:lvlText w:val=""/>
      <w:lvlJc w:val="left"/>
      <w:pPr>
        <w:ind w:left="3960" w:hanging="360"/>
      </w:pPr>
      <w:rPr>
        <w:rFonts w:ascii="Wingdings" w:hAnsi="Wingdings" w:hint="default"/>
      </w:rPr>
    </w:lvl>
    <w:lvl w:ilvl="6" w:tplc="A9D495DC">
      <w:start w:val="1"/>
      <w:numFmt w:val="bullet"/>
      <w:lvlText w:val=""/>
      <w:lvlJc w:val="left"/>
      <w:pPr>
        <w:ind w:left="4680" w:hanging="360"/>
      </w:pPr>
      <w:rPr>
        <w:rFonts w:ascii="Symbol" w:hAnsi="Symbol" w:hint="default"/>
      </w:rPr>
    </w:lvl>
    <w:lvl w:ilvl="7" w:tplc="7F24F0B4">
      <w:start w:val="1"/>
      <w:numFmt w:val="bullet"/>
      <w:lvlText w:val="o"/>
      <w:lvlJc w:val="left"/>
      <w:pPr>
        <w:ind w:left="5400" w:hanging="360"/>
      </w:pPr>
      <w:rPr>
        <w:rFonts w:ascii="Courier New" w:hAnsi="Courier New" w:hint="default"/>
      </w:rPr>
    </w:lvl>
    <w:lvl w:ilvl="8" w:tplc="A8123AEE">
      <w:start w:val="1"/>
      <w:numFmt w:val="bullet"/>
      <w:lvlText w:val=""/>
      <w:lvlJc w:val="left"/>
      <w:pPr>
        <w:ind w:left="6120" w:hanging="360"/>
      </w:pPr>
      <w:rPr>
        <w:rFonts w:ascii="Wingdings" w:hAnsi="Wingdings" w:hint="default"/>
      </w:rPr>
    </w:lvl>
  </w:abstractNum>
  <w:abstractNum w:abstractNumId="2" w15:restartNumberingAfterBreak="0">
    <w:nsid w:val="33B0ED4B"/>
    <w:multiLevelType w:val="hybridMultilevel"/>
    <w:tmpl w:val="42345664"/>
    <w:lvl w:ilvl="0" w:tplc="BD341A80">
      <w:start w:val="1"/>
      <w:numFmt w:val="decimal"/>
      <w:lvlText w:val="%1."/>
      <w:lvlJc w:val="left"/>
      <w:pPr>
        <w:ind w:left="720" w:hanging="360"/>
      </w:pPr>
    </w:lvl>
    <w:lvl w:ilvl="1" w:tplc="F1840D60">
      <w:start w:val="1"/>
      <w:numFmt w:val="upperLetter"/>
      <w:lvlText w:val="%2."/>
      <w:lvlJc w:val="left"/>
      <w:pPr>
        <w:ind w:left="1440" w:hanging="360"/>
      </w:pPr>
    </w:lvl>
    <w:lvl w:ilvl="2" w:tplc="9EDE31BA">
      <w:start w:val="1"/>
      <w:numFmt w:val="upperLetter"/>
      <w:lvlText w:val="%3."/>
      <w:lvlJc w:val="left"/>
      <w:pPr>
        <w:ind w:left="2160" w:hanging="180"/>
      </w:pPr>
    </w:lvl>
    <w:lvl w:ilvl="3" w:tplc="0C822894">
      <w:start w:val="1"/>
      <w:numFmt w:val="decimal"/>
      <w:lvlText w:val="%4."/>
      <w:lvlJc w:val="left"/>
      <w:pPr>
        <w:ind w:left="2880" w:hanging="360"/>
      </w:pPr>
    </w:lvl>
    <w:lvl w:ilvl="4" w:tplc="3C062E52">
      <w:start w:val="1"/>
      <w:numFmt w:val="lowerLetter"/>
      <w:lvlText w:val="%5."/>
      <w:lvlJc w:val="left"/>
      <w:pPr>
        <w:ind w:left="3600" w:hanging="360"/>
      </w:pPr>
    </w:lvl>
    <w:lvl w:ilvl="5" w:tplc="7534BCB8">
      <w:start w:val="1"/>
      <w:numFmt w:val="lowerRoman"/>
      <w:lvlText w:val="%6."/>
      <w:lvlJc w:val="right"/>
      <w:pPr>
        <w:ind w:left="4320" w:hanging="180"/>
      </w:pPr>
    </w:lvl>
    <w:lvl w:ilvl="6" w:tplc="6776B598">
      <w:start w:val="1"/>
      <w:numFmt w:val="decimal"/>
      <w:lvlText w:val="%7."/>
      <w:lvlJc w:val="left"/>
      <w:pPr>
        <w:ind w:left="5040" w:hanging="360"/>
      </w:pPr>
    </w:lvl>
    <w:lvl w:ilvl="7" w:tplc="26F88564">
      <w:start w:val="1"/>
      <w:numFmt w:val="lowerLetter"/>
      <w:lvlText w:val="%8."/>
      <w:lvlJc w:val="left"/>
      <w:pPr>
        <w:ind w:left="5760" w:hanging="360"/>
      </w:pPr>
    </w:lvl>
    <w:lvl w:ilvl="8" w:tplc="B8AC1DF4">
      <w:start w:val="1"/>
      <w:numFmt w:val="lowerRoman"/>
      <w:lvlText w:val="%9."/>
      <w:lvlJc w:val="right"/>
      <w:pPr>
        <w:ind w:left="6480" w:hanging="180"/>
      </w:pPr>
    </w:lvl>
  </w:abstractNum>
  <w:abstractNum w:abstractNumId="3" w15:restartNumberingAfterBreak="0">
    <w:nsid w:val="4AC1AC75"/>
    <w:multiLevelType w:val="hybridMultilevel"/>
    <w:tmpl w:val="5EF8B2F4"/>
    <w:lvl w:ilvl="0" w:tplc="AABA0DDA">
      <w:start w:val="1"/>
      <w:numFmt w:val="bullet"/>
      <w:lvlText w:val=""/>
      <w:lvlJc w:val="left"/>
      <w:pPr>
        <w:ind w:left="360" w:hanging="360"/>
      </w:pPr>
      <w:rPr>
        <w:rFonts w:ascii="Symbol" w:hAnsi="Symbol" w:hint="default"/>
      </w:rPr>
    </w:lvl>
    <w:lvl w:ilvl="1" w:tplc="D82E1E4C">
      <w:start w:val="1"/>
      <w:numFmt w:val="bullet"/>
      <w:lvlText w:val="o"/>
      <w:lvlJc w:val="left"/>
      <w:pPr>
        <w:ind w:left="1080" w:hanging="360"/>
      </w:pPr>
      <w:rPr>
        <w:rFonts w:ascii="Courier New" w:hAnsi="Courier New" w:hint="default"/>
      </w:rPr>
    </w:lvl>
    <w:lvl w:ilvl="2" w:tplc="9BCC7236">
      <w:start w:val="1"/>
      <w:numFmt w:val="bullet"/>
      <w:lvlText w:val=""/>
      <w:lvlJc w:val="left"/>
      <w:pPr>
        <w:ind w:left="1800" w:hanging="360"/>
      </w:pPr>
      <w:rPr>
        <w:rFonts w:ascii="Symbol" w:hAnsi="Symbol" w:hint="default"/>
      </w:rPr>
    </w:lvl>
    <w:lvl w:ilvl="3" w:tplc="E6B4469C">
      <w:start w:val="1"/>
      <w:numFmt w:val="bullet"/>
      <w:lvlText w:val=""/>
      <w:lvlJc w:val="left"/>
      <w:pPr>
        <w:ind w:left="2520" w:hanging="360"/>
      </w:pPr>
      <w:rPr>
        <w:rFonts w:ascii="Symbol" w:hAnsi="Symbol" w:hint="default"/>
      </w:rPr>
    </w:lvl>
    <w:lvl w:ilvl="4" w:tplc="5C6AD6E2">
      <w:start w:val="1"/>
      <w:numFmt w:val="bullet"/>
      <w:lvlText w:val="o"/>
      <w:lvlJc w:val="left"/>
      <w:pPr>
        <w:ind w:left="3240" w:hanging="360"/>
      </w:pPr>
      <w:rPr>
        <w:rFonts w:ascii="Courier New" w:hAnsi="Courier New" w:hint="default"/>
      </w:rPr>
    </w:lvl>
    <w:lvl w:ilvl="5" w:tplc="227E9650">
      <w:start w:val="1"/>
      <w:numFmt w:val="bullet"/>
      <w:lvlText w:val=""/>
      <w:lvlJc w:val="left"/>
      <w:pPr>
        <w:ind w:left="3960" w:hanging="360"/>
      </w:pPr>
      <w:rPr>
        <w:rFonts w:ascii="Wingdings" w:hAnsi="Wingdings" w:hint="default"/>
      </w:rPr>
    </w:lvl>
    <w:lvl w:ilvl="6" w:tplc="FD124D64">
      <w:start w:val="1"/>
      <w:numFmt w:val="bullet"/>
      <w:lvlText w:val=""/>
      <w:lvlJc w:val="left"/>
      <w:pPr>
        <w:ind w:left="4680" w:hanging="360"/>
      </w:pPr>
      <w:rPr>
        <w:rFonts w:ascii="Symbol" w:hAnsi="Symbol" w:hint="default"/>
      </w:rPr>
    </w:lvl>
    <w:lvl w:ilvl="7" w:tplc="4CB06000">
      <w:start w:val="1"/>
      <w:numFmt w:val="bullet"/>
      <w:lvlText w:val="o"/>
      <w:lvlJc w:val="left"/>
      <w:pPr>
        <w:ind w:left="5400" w:hanging="360"/>
      </w:pPr>
      <w:rPr>
        <w:rFonts w:ascii="Courier New" w:hAnsi="Courier New" w:hint="default"/>
      </w:rPr>
    </w:lvl>
    <w:lvl w:ilvl="8" w:tplc="641CDEFC">
      <w:start w:val="1"/>
      <w:numFmt w:val="bullet"/>
      <w:lvlText w:val=""/>
      <w:lvlJc w:val="left"/>
      <w:pPr>
        <w:ind w:left="6120" w:hanging="360"/>
      </w:pPr>
      <w:rPr>
        <w:rFonts w:ascii="Wingdings" w:hAnsi="Wingdings" w:hint="default"/>
      </w:rPr>
    </w:lvl>
  </w:abstractNum>
  <w:abstractNum w:abstractNumId="4" w15:restartNumberingAfterBreak="0">
    <w:nsid w:val="5A36A191"/>
    <w:multiLevelType w:val="multilevel"/>
    <w:tmpl w:val="9E4E88B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1739863415">
    <w:abstractNumId w:val="1"/>
  </w:num>
  <w:num w:numId="2" w16cid:durableId="1791777838">
    <w:abstractNumId w:val="2"/>
  </w:num>
  <w:num w:numId="3" w16cid:durableId="908538292">
    <w:abstractNumId w:val="3"/>
  </w:num>
  <w:num w:numId="4" w16cid:durableId="660082806">
    <w:abstractNumId w:val="4"/>
  </w:num>
  <w:num w:numId="5" w16cid:durableId="38719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1E42C9"/>
    <w:rsid w:val="001F1FA7"/>
    <w:rsid w:val="00331B6A"/>
    <w:rsid w:val="003663A1"/>
    <w:rsid w:val="00403A98"/>
    <w:rsid w:val="004D0E8A"/>
    <w:rsid w:val="005708A1"/>
    <w:rsid w:val="00574B3F"/>
    <w:rsid w:val="005F096E"/>
    <w:rsid w:val="00702F62"/>
    <w:rsid w:val="00726BD8"/>
    <w:rsid w:val="007516CC"/>
    <w:rsid w:val="00846182"/>
    <w:rsid w:val="00893BC1"/>
    <w:rsid w:val="00964B18"/>
    <w:rsid w:val="009A6E69"/>
    <w:rsid w:val="00A87E7D"/>
    <w:rsid w:val="00AE38B6"/>
    <w:rsid w:val="00B05DAE"/>
    <w:rsid w:val="00B15DE5"/>
    <w:rsid w:val="00B41585"/>
    <w:rsid w:val="00C05DCE"/>
    <w:rsid w:val="00C25094"/>
    <w:rsid w:val="00CC1C5F"/>
    <w:rsid w:val="00CD4260"/>
    <w:rsid w:val="00D6050E"/>
    <w:rsid w:val="00DF6052"/>
    <w:rsid w:val="00E723E0"/>
    <w:rsid w:val="00F01B2A"/>
    <w:rsid w:val="00F24B04"/>
    <w:rsid w:val="00F306C1"/>
    <w:rsid w:val="00F71270"/>
    <w:rsid w:val="00FF7E38"/>
    <w:rsid w:val="0108591B"/>
    <w:rsid w:val="06C825C0"/>
    <w:rsid w:val="0B727533"/>
    <w:rsid w:val="171E42C9"/>
    <w:rsid w:val="2C79575D"/>
    <w:rsid w:val="2DC3D618"/>
    <w:rsid w:val="368941ED"/>
    <w:rsid w:val="3713FC96"/>
    <w:rsid w:val="41AEA1CF"/>
    <w:rsid w:val="468212F2"/>
    <w:rsid w:val="47A845E1"/>
    <w:rsid w:val="4F4D191E"/>
    <w:rsid w:val="50E8E97F"/>
    <w:rsid w:val="5131BC24"/>
    <w:rsid w:val="7B3BB6CC"/>
    <w:rsid w:val="7C61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E42C9"/>
  <w15:chartTrackingRefBased/>
  <w15:docId w15:val="{DDCF7C17-487D-4C65-A34F-661AD193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PlainTable4">
    <w:name w:val="Plain Table 4"/>
    <w:basedOn w:val="TableNormal"/>
    <w:uiPriority w:val="44"/>
    <w:rsid w:val="00726B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anada.ca/fr/secretariat-conseil-tresor/services/dotation/normes-qualification/centrale.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McGrath, Rosalie</cp:lastModifiedBy>
  <cp:revision>3</cp:revision>
  <dcterms:created xsi:type="dcterms:W3CDTF">2023-03-31T19:36:00Z</dcterms:created>
  <dcterms:modified xsi:type="dcterms:W3CDTF">2023-03-31T19:36:00Z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2022-11-28T20:40:11Z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a8a58852-36b1-473c-a92a-e724a32ce631</vt:lpwstr>
  </property>
  <property fmtid="{D5CDD505-2E9C-101B-9397-08002B2CF9AE}" pid="8" name="MSIP_Label_3515d617-256d-4284-aedb-1064be1c4b48_ContentBits">
    <vt:lpwstr>0</vt:lpwstr>
  </property>
</Properties>
</file>