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Inteligência Artificial — Várzea Clara Energia</w:t>
      </w:r>
    </w:p>
    <w:p>
      <w:r>
        <w:t>Versão vigente, revisada em agosto de 2026. Esta é a norma em vigor. Substitui a série numerada PO-VCE-007_vN.</w:t>
      </w:r>
    </w:p>
    <w:p>
      <w:pPr>
        <w:pStyle w:val="Heading2"/>
      </w:pPr>
      <w:r>
        <w:t>Governança</w:t>
      </w:r>
    </w:p>
    <w:p>
      <w:r>
        <w:t>O comitê deliberativo permanente aprova todo uso de modelo em processo produtivo. Não há mais comitê consultivo.</w:t>
      </w:r>
    </w:p>
    <w:p>
      <w:pPr>
        <w:pStyle w:val="Heading2"/>
      </w:pPr>
      <w:r>
        <w:t>Classificação de risco</w:t>
      </w:r>
    </w:p>
    <w:p>
      <w:r>
        <w:t>Projetos de alto risco exigem revisão humana em todas as decisões que afetem pessoa identificável.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