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1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6" Type="http://schemas.openxmlformats.org/officeDocument/2006/relationships/custom-properties" Target="docProps/custom1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E7E95"/>
          <w:sz w:val="18"/>
        </w:rPr>
        <w:t>LONESTAR AIR</w:t>
      </w:r>
    </w:p>
    <w:p>
      <w:r>
        <w:rPr>
          <w:b/>
          <w:color w:val="1A2C80"/>
          <w:sz w:val="34"/>
        </w:rPr>
        <w:t>Customer Care Policy Extract</w:t>
      </w:r>
    </w:p>
    <w:p>
      <w:r>
        <w:rPr>
          <w:color w:val="5C6773"/>
          <w:sz w:val="19"/>
        </w:rPr>
        <w:t>Compensation and handling standards · effective 1 June 2026 · internal reference CC-POL-2026-02</w:t>
      </w:r>
    </w:p>
    <w:p>
      <w:r>
        <w:rPr>
          <w:b/>
          <w:color w:val="1A2C80"/>
          <w:sz w:val="24"/>
        </w:rPr>
        <w:t>Section 4 — Controllable cancellations</w:t>
      </w:r>
    </w:p>
    <w:p>
      <w:r>
        <w:rPr>
          <w:b w:val="0"/>
        </w:rPr>
        <w:t>4.1 Where a flight is cancelled for a reason within LoneStar Air's control (including crew legality, maintenance and operational staffing), the customer is entitled to a full refund of the unused fare, or rebooking on the next available LoneStar service at no additional cost, at the customer's election.</w:t>
      </w:r>
    </w:p>
    <w:p>
      <w:r>
        <w:rPr>
          <w:b w:val="0"/>
        </w:rPr>
        <w:t>4.2 Where the delay caused by a controllable cancellation requires an overnight stay away from the customer's origin or destination, reasonable hotel accommodation and meals are reimbursed on production of receipts. Reasonable is defined as up to $250 per room per night and $40 per person per day for meals.</w:t>
      </w:r>
    </w:p>
    <w:p>
      <w:r>
        <w:rPr>
          <w:b w:val="0"/>
        </w:rPr>
        <w:t>4.3 Consequential losses — including missed events, non-refundable third-party bookings, lost earnings and missed cruise or tour departures — are not reimbursed. Agents must decline these claims citing this section, and must not imply that an exception may be available.</w:t>
      </w:r>
    </w:p>
    <w:p>
      <w:r>
        <w:rPr>
          <w:b w:val="0"/>
        </w:rPr>
        <w:t>4.4 Where a customer self-rebooks on another carrier without LoneStar's prior authorisation, reimbursement is limited to the value of the unused LoneStar fare. The difference is not reimbursed. Where LoneStar could not offer a seat within 24 hours of the original departure, a supervisor may authorise the difference up to $400.</w:t>
      </w:r>
    </w:p>
    <w:p>
      <w:r>
        <w:rPr>
          <w:b/>
          <w:color w:val="1A2C80"/>
          <w:sz w:val="24"/>
        </w:rPr>
        <w:t>Section 5 — Delays</w:t>
      </w:r>
    </w:p>
    <w:p>
      <w:r>
        <w:rPr>
          <w:b w:val="0"/>
        </w:rPr>
        <w:t>5.1 Delays of three hours or more on a controllable cause qualify for meal reimbursement on receipt.</w:t>
      </w:r>
    </w:p>
    <w:p>
      <w:r>
        <w:rPr>
          <w:b w:val="0"/>
        </w:rPr>
        <w:t>5.2 A goodwill travel credit of up to $100 may be issued at agent discretion for a controllable delay of three hours or more, without supervisor approval.</w:t>
      </w:r>
    </w:p>
    <w:p>
      <w:r>
        <w:rPr>
          <w:b/>
          <w:color w:val="1A2C80"/>
          <w:sz w:val="24"/>
        </w:rPr>
        <w:t>Section 6 — Travel credit bands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Band</w:t>
            </w:r>
          </w:p>
        </w:tc>
        <w:tc>
          <w:tcPr>
            <w:tcW w:type="dxa" w:w="2160"/>
          </w:tcPr>
          <w:p>
            <w:r>
              <w:t>Circumstance</w:t>
            </w:r>
          </w:p>
        </w:tc>
        <w:tc>
          <w:tcPr>
            <w:tcW w:type="dxa" w:w="2160"/>
          </w:tcPr>
          <w:p>
            <w:r>
              <w:t>Credit</w:t>
            </w:r>
          </w:p>
        </w:tc>
        <w:tc>
          <w:tcPr>
            <w:tcW w:type="dxa" w:w="2160"/>
          </w:tcPr>
          <w:p>
            <w:r>
              <w:t>Approval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Controllable cancellation with an overnight stay</w:t>
            </w:r>
          </w:p>
        </w:tc>
        <w:tc>
          <w:tcPr>
            <w:tcW w:type="dxa" w:w="2160"/>
          </w:tcPr>
          <w:p>
            <w:r>
              <w:t>$150</w:t>
            </w:r>
          </w:p>
        </w:tc>
        <w:tc>
          <w:tcPr>
            <w:tcW w:type="dxa" w:w="2160"/>
          </w:tcPr>
          <w:p>
            <w:r>
              <w:t>Agent</w:t>
            </w:r>
          </w:p>
        </w:tc>
      </w:tr>
      <w:tr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Controllable cancellation, rebooked within 24 hours</w:t>
            </w:r>
          </w:p>
        </w:tc>
        <w:tc>
          <w:tcPr>
            <w:tcW w:type="dxa" w:w="2160"/>
          </w:tcPr>
          <w:p>
            <w:r>
              <w:t>$300</w:t>
            </w:r>
          </w:p>
        </w:tc>
        <w:tc>
          <w:tcPr>
            <w:tcW w:type="dxa" w:w="2160"/>
          </w:tcPr>
          <w:p>
            <w:r>
              <w:t>Agent</w:t>
            </w:r>
          </w:p>
        </w:tc>
      </w:tr>
      <w:tr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Controllable cancellation, rebooked beyond 24 hours</w:t>
            </w:r>
          </w:p>
        </w:tc>
        <w:tc>
          <w:tcPr>
            <w:tcW w:type="dxa" w:w="2160"/>
          </w:tcPr>
          <w:p>
            <w:r>
              <w:t>$500</w:t>
            </w:r>
          </w:p>
        </w:tc>
        <w:tc>
          <w:tcPr>
            <w:tcW w:type="dxa" w:w="2160"/>
          </w:tcPr>
          <w:p>
            <w:r>
              <w:t>Supervisor</w:t>
            </w:r>
          </w:p>
        </w:tc>
      </w:tr>
      <w:tr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Service failure affecting accessibility or assistance</w:t>
            </w:r>
          </w:p>
        </w:tc>
        <w:tc>
          <w:tcPr>
            <w:tcW w:type="dxa" w:w="2160"/>
          </w:tcPr>
          <w:p>
            <w:r>
              <w:t>$750</w:t>
            </w:r>
          </w:p>
        </w:tc>
        <w:tc>
          <w:tcPr>
            <w:tcW w:type="dxa" w:w="2160"/>
          </w:tcPr>
          <w:p>
            <w:r>
              <w:t>Supervisor</w:t>
            </w:r>
          </w:p>
        </w:tc>
      </w:tr>
      <w:tr>
        <w:tc>
          <w:tcPr>
            <w:tcW w:type="dxa" w:w="2160"/>
          </w:tcPr>
          <w:p>
            <w:r>
              <w:t>E</w:t>
            </w:r>
          </w:p>
        </w:tc>
        <w:tc>
          <w:tcPr>
            <w:tcW w:type="dxa" w:w="2160"/>
          </w:tcPr>
          <w:p>
            <w:r>
              <w:t>Any case with litigation or regulatory exposure</w:t>
            </w:r>
          </w:p>
        </w:tc>
        <w:tc>
          <w:tcPr>
            <w:tcW w:type="dxa" w:w="2160"/>
          </w:tcPr>
          <w:p>
            <w:r>
              <w:t>Referred</w:t>
            </w:r>
          </w:p>
        </w:tc>
        <w:tc>
          <w:tcPr>
            <w:tcW w:type="dxa" w:w="2160"/>
          </w:tcPr>
          <w:p>
            <w:r>
              <w:t>Legal review</w:t>
            </w:r>
          </w:p>
        </w:tc>
      </w:tr>
    </w:tbl>
    <w:p>
      <w:r>
        <w:rPr>
          <w:b w:val="0"/>
        </w:rPr>
      </w:r>
    </w:p>
    <w:p>
      <w:r>
        <w:rPr>
          <w:b/>
        </w:rPr>
        <w:t>Note on band C: where the rebooking offered exceeds 24 hours from the original departure, band C applies in addition to the refund and any Section 4.2 reimbursement. This is the most frequently missed entitlement in quality audits.</w:t>
      </w:r>
    </w:p>
    <w:p>
      <w:r>
        <w:rPr>
          <w:b/>
          <w:color w:val="1A2C80"/>
          <w:sz w:val="24"/>
        </w:rPr>
        <w:t>Section 7 — Accessibility and assistance</w:t>
      </w:r>
    </w:p>
    <w:p>
      <w:r>
        <w:rPr>
          <w:b w:val="0"/>
        </w:rPr>
        <w:t>7.1 A failure to provide requested wheelchair or mobility assistance is treated as a service failure under band D and must be acknowledged within one business day.</w:t>
      </w:r>
    </w:p>
    <w:p>
      <w:r>
        <w:rPr>
          <w:b w:val="0"/>
        </w:rPr>
        <w:t>7.2 Accessibility complaints are reportable and must never be closed with a credit alone; a written acknowledgement of the failure is required.</w:t>
      </w:r>
    </w:p>
    <w:p>
      <w:r>
        <w:rPr>
          <w:b/>
          <w:color w:val="1A2C80"/>
          <w:sz w:val="24"/>
        </w:rPr>
        <w:t>Section 8 — Escalation and legal exposure</w:t>
      </w:r>
    </w:p>
    <w:p>
      <w:r>
        <w:rPr>
          <w:b w:val="0"/>
        </w:rPr>
        <w:t>8.1 Any correspondence from an attorney, any reference to small-claims or civil proceedings, and any regulatory complaint is band E and must be routed to Legal within one business day. Agents must not make or imply a settlement offer.</w:t>
      </w:r>
    </w:p>
    <w:p>
      <w:r>
        <w:rPr>
          <w:b w:val="0"/>
        </w:rPr>
        <w:t>8.2 Executive Office correspondence is acknowledged within one business day regardless of case type.</w:t>
      </w:r>
    </w:p>
    <w:p/>
    <w:p>
      <w:r>
        <w:rPr>
          <w:i/>
          <w:color w:val="8A909A"/>
          <w:sz w:val="15"/>
        </w:rPr>
        <w:t>Fictional sample document — LoneStar Air is not a real carrier. Created for a Microsoft 365 Copilot demonstration. All names, case numbers, figures and correspondence are illustrative.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E6A4C13A5DCC4FB90C61A219C9DAC9" ma:contentTypeVersion="16" ma:contentTypeDescription="Create a new document." ma:contentTypeScope="" ma:versionID="016d4cc0da8defc39297c18d4f967b71">
  <xsd:schema xmlns:xsd="http://www.w3.org/2001/XMLSchema" xmlns:xs="http://www.w3.org/2001/XMLSchema" xmlns:p="http://schemas.microsoft.com/office/2006/metadata/properties" xmlns:ns1="http://schemas.microsoft.com/sharepoint/v3" xmlns:ns2="327f8b18-ce2d-4a79-a269-e977be4658e8" xmlns:ns3="8e796887-60c8-475f-8abb-b8ef8ac6a19c" targetNamespace="http://schemas.microsoft.com/office/2006/metadata/properties" ma:root="true" ma:fieldsID="d899bd79972a2c065881da0a12d26696" ns1:_="" ns2:_="" ns3:_="">
    <xsd:import namespace="http://schemas.microsoft.com/sharepoint/v3"/>
    <xsd:import namespace="327f8b18-ce2d-4a79-a269-e977be4658e8"/>
    <xsd:import namespace="8e796887-60c8-475f-8abb-b8ef8ac6a1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HasDigitalSignature" minOccurs="0"/>
                <xsd:element ref="ns2:DigitalSignatureProvider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7f8b18-ce2d-4a79-a269-e977be4658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HasDigitalSignature" ma:index="18" nillable="true" ma:displayName="Signed electronically" ma:internalName="HasDigitalSignature" ma:readOnly="true">
      <xsd:simpleType>
        <xsd:restriction base="dms:Boolean"/>
      </xsd:simpleType>
    </xsd:element>
    <xsd:element name="DigitalSignatureProvider" ma:index="19" nillable="true" ma:displayName="Signature provider" ma:internalName="DigitalSignatureProvider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96887-60c8-475f-8abb-b8ef8ac6a19c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7ecb250a-b623-4bae-8d0a-d285ee279971}" ma:internalName="TaxCatchAll" ma:showField="CatchAllData" ma:web="8e796887-60c8-475f-8abb-b8ef8ac6a1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327f8b18-ce2d-4a79-a269-e977be4658e8">
      <Terms xmlns="http://schemas.microsoft.com/office/infopath/2007/PartnerControls"/>
    </lcf76f155ced4ddcb4097134ff3c332f>
    <TaxCatchAll xmlns="8e796887-60c8-475f-8abb-b8ef8ac6a19c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BC89E16-27D1-4F50-A026-B5C805F2A772}"/>
</file>

<file path=customXml/itemProps3.xml><?xml version="1.0" encoding="utf-8"?>
<ds:datastoreItem xmlns:ds="http://schemas.openxmlformats.org/officeDocument/2006/customXml" ds:itemID="{F11BE123-B134-429C-987B-BDD7BD048FF1}"/>
</file>

<file path=customXml/itemProps4.xml><?xml version="1.0" encoding="utf-8"?>
<ds:datastoreItem xmlns:ds="http://schemas.openxmlformats.org/officeDocument/2006/customXml" ds:itemID="{AC736EEC-8858-425D-86FB-A6D903F5CAB3}"/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365 Copilot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

<file path=docProps/custo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0x010100DBE6A4C13A5DCC4FB90C61A219C9DAC9</vt:lpwstr>
  </property>
  <property fmtid="{D5CDD505-2E9C-101B-9397-08002B2CF9AE}" pid="3" name="Order">
    <vt:r8>113800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  <property fmtid="{D5CDD505-2E9C-101B-9397-08002B2CF9AE}" pid="9" name="MediaServiceImageTags">
    <vt:lpwstr/>
  </property>
</Properties>
</file>