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3A5F"/>
          <w:sz w:val="48"/>
        </w:rPr>
        <w:t>Spécifications détaillées – Application Courses &amp; Menus</w:t>
      </w:r>
    </w:p>
    <w:p>
      <w:pPr>
        <w:spacing w:after="240"/>
      </w:pPr>
      <w:r>
        <w:rPr>
          <w:i/>
          <w:sz w:val="24"/>
        </w:rPr>
        <w:t>Document de synthèse fonctionnelle et technique basé sur les échanges de conception et d’itération</w:t>
      </w:r>
    </w:p>
    <w:p>
      <w:pPr>
        <w:jc w:val="left"/>
      </w:pPr>
      <w:r>
        <w:rPr>
          <w:b/>
        </w:rPr>
        <w:t xml:space="preserve">Version documentaire : </w:t>
      </w:r>
      <w:r>
        <w:t xml:space="preserve">1.0 – </w:t>
      </w:r>
      <w:r>
        <w:rPr>
          <w:b/>
        </w:rPr>
        <w:t xml:space="preserve">Date : </w:t>
      </w:r>
      <w:r>
        <w:t>10/07/2026</w:t>
      </w:r>
    </w:p>
    <w:tbl>
      <w:tblPr>
        <w:tblW w:type="auto" w:w="0"/>
        <w:jc w:val="center"/>
        <w:tblLayout w:type="fixed"/>
        <w:tblLook w:firstColumn="1" w:firstRow="1" w:lastColumn="0" w:lastRow="0" w:noHBand="0" w:noVBand="1" w:val="04A0"/>
        <w:tblBorders>
          <w:top w:val="single" w:sz="4" w:space="0" w:color="B6C7DC"/>
          <w:left w:val="single" w:sz="4" w:space="0" w:color="B6C7DC"/>
          <w:bottom w:val="single" w:sz="4" w:space="0" w:color="B6C7DC"/>
          <w:right w:val="single" w:sz="4" w:space="0" w:color="B6C7DC"/>
          <w:insideH w:val="single" w:sz="4" w:space="0" w:color="B6C7DC"/>
          <w:insideV w:val="single" w:sz="4" w:space="0" w:color="B6C7DC"/>
        </w:tblBorders>
      </w:tblPr>
      <w:tblGrid>
        <w:gridCol w:w="9360"/>
      </w:tblGrid>
      <w:tr>
        <w:tc>
          <w:tcPr>
            <w:tcW w:type="dxa" w:w="9360"/>
            <w:tcMar>
              <w:top w:w="80" w:type="dxa"/>
              <w:start w:w="120" w:type="dxa"/>
              <w:bottom w:w="80" w:type="dxa"/>
              <w:end w:w="120" w:type="dxa"/>
            </w:tcMar>
            <w:vAlign w:val="center"/>
            <w:shd w:fill="F4F6F9"/>
          </w:tcPr>
          <w:p>
            <w:r>
              <w:rPr>
                <w:b/>
                <w:color w:val="1F3A5F"/>
                <w:sz w:val="20"/>
              </w:rPr>
              <w:t>Résumé exécutif</w:t>
            </w:r>
            <w:r>
              <w:rPr>
                <w:sz w:val="20"/>
              </w:rPr>
              <w:br/>
              <w:t>L’application vise à remplacer le Google Sheets initial par une petite application web Apps Script / Google Sheets, optimisée pour la préparation des courses, l’usage en magasin sur téléphone, la planification des menus, la gestion des restes et la conservation d’un historique utile.</w:t>
            </w:r>
          </w:p>
        </w:tc>
      </w:tr>
    </w:tbl>
    <w:p/>
    <w:p>
      <w:pPr>
        <w:pStyle w:val="Heading1"/>
      </w:pPr>
      <w:r>
        <w:t>1. Contexte et objectifs</w:t>
      </w:r>
    </w:p>
    <w:p>
      <w:r>
        <w:t>Le projet part d’un Google Sheets familial contenant un référentiel de produits, une liste de courses, des menus hebdomadaires, un historique de menus, des recettes et une synthèse des légumes de saison. L’objectif est de conserver la simplicité d’un fichier Google partagé tout en offrant une expérience applicative beaucoup plus fluide sur PC et téléphone.</w:t>
      </w:r>
    </w:p>
    <w:p>
      <w:pPr>
        <w:pStyle w:val="ListBullet"/>
      </w:pPr>
      <w:r>
        <w:t>Préparer rapidement la liste de courses à partir d’un référentiel récurrent.</w:t>
      </w:r>
    </w:p>
    <w:p>
      <w:pPr>
        <w:pStyle w:val="ListBullet"/>
      </w:pPr>
      <w:r>
        <w:t>Utiliser la liste en magasin, y compris à plusieurs personnes simultanément.</w:t>
      </w:r>
    </w:p>
    <w:p>
      <w:pPr>
        <w:pStyle w:val="ListBullet"/>
      </w:pPr>
      <w:r>
        <w:t>Planifier les menus de la semaine, avec prise en compte des restes et des contraintes familiales.</w:t>
      </w:r>
    </w:p>
    <w:p>
      <w:pPr>
        <w:pStyle w:val="ListBullet"/>
      </w:pPr>
      <w:r>
        <w:t>Conserver l’historique des menus et les idées de plats à tester.</w:t>
      </w:r>
    </w:p>
    <w:p>
      <w:pPr>
        <w:pStyle w:val="ListBullet"/>
      </w:pPr>
      <w:r>
        <w:t>Limiter les manipulations techniques et préserver une logique de stockage simple dans Google Sheets.</w:t>
      </w:r>
    </w:p>
    <w:p>
      <w:pPr>
        <w:pStyle w:val="Heading1"/>
      </w:pPr>
      <w:r>
        <w:t>2. Périmètre actuel</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88"/>
            <w:tcMar>
              <w:top w:w="80" w:type="dxa"/>
              <w:start w:w="120" w:type="dxa"/>
              <w:bottom w:w="80" w:type="dxa"/>
              <w:end w:w="120" w:type="dxa"/>
            </w:tcMar>
            <w:vAlign w:val="center"/>
            <w:shd w:fill="E8EEF5"/>
          </w:tcPr>
          <w:p>
            <w:r>
              <w:rPr>
                <w:b/>
                <w:sz w:val="18"/>
              </w:rPr>
              <w:t>Élément</w:t>
            </w:r>
          </w:p>
        </w:tc>
        <w:tc>
          <w:tcPr>
            <w:tcW w:type="dxa" w:w="7272"/>
            <w:tcMar>
              <w:top w:w="80" w:type="dxa"/>
              <w:start w:w="120" w:type="dxa"/>
              <w:bottom w:w="80" w:type="dxa"/>
              <w:end w:w="120" w:type="dxa"/>
            </w:tcMar>
            <w:vAlign w:val="center"/>
            <w:shd w:fill="E8EEF5"/>
          </w:tcPr>
          <w:p>
            <w:r>
              <w:rPr>
                <w:b/>
                <w:sz w:val="18"/>
              </w:rPr>
              <w:t>Spécification</w:t>
            </w:r>
          </w:p>
        </w:tc>
      </w:tr>
      <w:tr>
        <w:tc>
          <w:tcPr>
            <w:tcW w:type="dxa" w:w="4680"/>
          </w:tcPr>
          <w:p>
            <w:pPr>
              <w:spacing w:after="0"/>
            </w:pPr>
            <w:r>
              <w:rPr>
                <w:sz w:val="18"/>
              </w:rPr>
              <w:t>Socle technique</w:t>
            </w:r>
          </w:p>
        </w:tc>
        <w:tc>
          <w:tcPr>
            <w:tcW w:type="dxa" w:w="4680"/>
          </w:tcPr>
          <w:p>
            <w:pPr>
              <w:spacing w:after="0"/>
            </w:pPr>
            <w:r>
              <w:rPr>
                <w:sz w:val="18"/>
              </w:rPr>
              <w:t>Google Apps Script exposé comme application web, avec Google Sheets comme base de données.</w:t>
            </w:r>
          </w:p>
        </w:tc>
      </w:tr>
      <w:tr>
        <w:tc>
          <w:tcPr>
            <w:tcW w:type="dxa" w:w="4680"/>
          </w:tcPr>
          <w:p>
            <w:pPr>
              <w:spacing w:after="0"/>
            </w:pPr>
            <w:r>
              <w:rPr>
                <w:sz w:val="18"/>
              </w:rPr>
              <w:t>Accès</w:t>
            </w:r>
          </w:p>
        </w:tc>
        <w:tc>
          <w:tcPr>
            <w:tcW w:type="dxa" w:w="4680"/>
          </w:tcPr>
          <w:p>
            <w:pPr>
              <w:spacing w:after="0"/>
            </w:pPr>
            <w:r>
              <w:rPr>
                <w:sz w:val="18"/>
              </w:rPr>
              <w:t>Lien commun familial. Les droits fins ne sont pas prioritaires dans la première version.</w:t>
            </w:r>
          </w:p>
        </w:tc>
      </w:tr>
      <w:tr>
        <w:tc>
          <w:tcPr>
            <w:tcW w:type="dxa" w:w="4680"/>
          </w:tcPr>
          <w:p>
            <w:pPr>
              <w:spacing w:after="0"/>
            </w:pPr>
            <w:r>
              <w:rPr>
                <w:sz w:val="18"/>
              </w:rPr>
              <w:t>Usage principal</w:t>
            </w:r>
          </w:p>
        </w:tc>
        <w:tc>
          <w:tcPr>
            <w:tcW w:type="dxa" w:w="4680"/>
          </w:tcPr>
          <w:p>
            <w:pPr>
              <w:spacing w:after="0"/>
            </w:pPr>
            <w:r>
              <w:rPr>
                <w:sz w:val="18"/>
              </w:rPr>
              <w:t>Préparation sur PC, consultation et action rapide sur téléphone pendant les courses.</w:t>
            </w:r>
          </w:p>
        </w:tc>
      </w:tr>
      <w:tr>
        <w:tc>
          <w:tcPr>
            <w:tcW w:type="dxa" w:w="4680"/>
          </w:tcPr>
          <w:p>
            <w:pPr>
              <w:spacing w:after="0"/>
            </w:pPr>
            <w:r>
              <w:rPr>
                <w:sz w:val="18"/>
              </w:rPr>
              <w:t>Synchronisation</w:t>
            </w:r>
          </w:p>
        </w:tc>
        <w:tc>
          <w:tcPr>
            <w:tcW w:type="dxa" w:w="4680"/>
          </w:tcPr>
          <w:p>
            <w:pPr>
              <w:spacing w:after="0"/>
            </w:pPr>
            <w:r>
              <w:rPr>
                <w:sz w:val="18"/>
              </w:rPr>
              <w:t>Mise à jour optimiste locale, puis sauvegarde serveur en arrière-plan.</w:t>
            </w:r>
          </w:p>
        </w:tc>
      </w:tr>
      <w:tr>
        <w:tc>
          <w:tcPr>
            <w:tcW w:type="dxa" w:w="4680"/>
          </w:tcPr>
          <w:p>
            <w:pPr>
              <w:spacing w:after="0"/>
            </w:pPr>
            <w:r>
              <w:rPr>
                <w:sz w:val="18"/>
              </w:rPr>
              <w:t>Version interne courante</w:t>
            </w:r>
          </w:p>
        </w:tc>
        <w:tc>
          <w:tcPr>
            <w:tcW w:type="dxa" w:w="4680"/>
          </w:tcPr>
          <w:p>
            <w:pPr>
              <w:spacing w:after="0"/>
            </w:pPr>
            <w:r>
              <w:rPr>
                <w:sz w:val="18"/>
              </w:rPr>
              <w:t>2.1.0, avec initialisation via setupApp lors des évolutions de schéma.</w:t>
            </w:r>
          </w:p>
        </w:tc>
      </w:tr>
    </w:tbl>
    <w:p/>
    <w:p>
      <w:pPr>
        <w:pStyle w:val="Heading1"/>
      </w:pPr>
      <w:r>
        <w:t>3. Données et onglets Google Sheets</w:t>
      </w:r>
    </w:p>
    <w:p>
      <w:r>
        <w:t>L’application lit et écrit dans des onglets internes préfixés APP_. Les anciens onglets du fichier source servent principalement à l’import ou à l’historique initial.</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376"/>
            <w:tcMar>
              <w:top w:w="80" w:type="dxa"/>
              <w:start w:w="120" w:type="dxa"/>
              <w:bottom w:w="80" w:type="dxa"/>
              <w:end w:w="120" w:type="dxa"/>
            </w:tcMar>
            <w:vAlign w:val="center"/>
            <w:shd w:fill="E8EEF5"/>
          </w:tcPr>
          <w:p>
            <w:r>
              <w:rPr>
                <w:b/>
                <w:sz w:val="18"/>
              </w:rPr>
              <w:t>Onglet</w:t>
            </w:r>
          </w:p>
        </w:tc>
        <w:tc>
          <w:tcPr>
            <w:tcW w:type="dxa" w:w="3096"/>
            <w:tcMar>
              <w:top w:w="80" w:type="dxa"/>
              <w:start w:w="120" w:type="dxa"/>
              <w:bottom w:w="80" w:type="dxa"/>
              <w:end w:w="120" w:type="dxa"/>
            </w:tcMar>
            <w:vAlign w:val="center"/>
            <w:shd w:fill="E8EEF5"/>
          </w:tcPr>
          <w:p>
            <w:r>
              <w:rPr>
                <w:b/>
                <w:sz w:val="18"/>
              </w:rPr>
              <w:t>Rôle</w:t>
            </w:r>
          </w:p>
        </w:tc>
        <w:tc>
          <w:tcPr>
            <w:tcW w:type="dxa" w:w="3888"/>
            <w:tcMar>
              <w:top w:w="80" w:type="dxa"/>
              <w:start w:w="120" w:type="dxa"/>
              <w:bottom w:w="80" w:type="dxa"/>
              <w:end w:w="120" w:type="dxa"/>
            </w:tcMar>
            <w:vAlign w:val="center"/>
            <w:shd w:fill="E8EEF5"/>
          </w:tcPr>
          <w:p>
            <w:r>
              <w:rPr>
                <w:b/>
                <w:sz w:val="18"/>
              </w:rPr>
              <w:t>Remarques</w:t>
            </w:r>
          </w:p>
        </w:tc>
      </w:tr>
      <w:tr>
        <w:tc>
          <w:tcPr>
            <w:tcW w:type="dxa" w:w="3120"/>
          </w:tcPr>
          <w:p>
            <w:pPr>
              <w:spacing w:after="0"/>
            </w:pPr>
            <w:r>
              <w:rPr>
                <w:sz w:val="18"/>
              </w:rPr>
              <w:t>APP_PARAMETRES</w:t>
            </w:r>
          </w:p>
        </w:tc>
        <w:tc>
          <w:tcPr>
            <w:tcW w:type="dxa" w:w="3120"/>
          </w:tcPr>
          <w:p>
            <w:pPr>
              <w:spacing w:after="0"/>
            </w:pPr>
            <w:r>
              <w:rPr>
                <w:sz w:val="18"/>
              </w:rPr>
              <w:t>Paramètres techniques</w:t>
            </w:r>
          </w:p>
        </w:tc>
        <w:tc>
          <w:tcPr>
            <w:tcW w:type="dxa" w:w="3120"/>
          </w:tcPr>
          <w:p>
            <w:pPr>
              <w:spacing w:after="0"/>
            </w:pPr>
            <w:r>
              <w:rPr>
                <w:sz w:val="18"/>
              </w:rPr>
              <w:t>Révision, version interne, paramètres d’application.</w:t>
            </w:r>
          </w:p>
        </w:tc>
      </w:tr>
      <w:tr>
        <w:tc>
          <w:tcPr>
            <w:tcW w:type="dxa" w:w="3120"/>
          </w:tcPr>
          <w:p>
            <w:pPr>
              <w:spacing w:after="0"/>
            </w:pPr>
            <w:r>
              <w:rPr>
                <w:sz w:val="18"/>
              </w:rPr>
              <w:t>APP_CATALOGUE</w:t>
            </w:r>
          </w:p>
        </w:tc>
        <w:tc>
          <w:tcPr>
            <w:tcW w:type="dxa" w:w="3120"/>
          </w:tcPr>
          <w:p>
            <w:pPr>
              <w:spacing w:after="0"/>
            </w:pPr>
            <w:r>
              <w:rPr>
                <w:sz w:val="18"/>
              </w:rPr>
              <w:t>Référentiel produits</w:t>
            </w:r>
          </w:p>
        </w:tc>
        <w:tc>
          <w:tcPr>
            <w:tcW w:type="dxa" w:w="3120"/>
          </w:tcPr>
          <w:p>
            <w:pPr>
              <w:spacing w:after="0"/>
            </w:pPr>
            <w:r>
              <w:rPr>
                <w:sz w:val="18"/>
              </w:rPr>
              <w:t>Produit, rayon, magasin par défaut, quantité, conditionnement, icône, dernier achat.</w:t>
            </w:r>
          </w:p>
        </w:tc>
      </w:tr>
      <w:tr>
        <w:tc>
          <w:tcPr>
            <w:tcW w:type="dxa" w:w="3120"/>
          </w:tcPr>
          <w:p>
            <w:pPr>
              <w:spacing w:after="0"/>
            </w:pPr>
            <w:r>
              <w:rPr>
                <w:sz w:val="18"/>
              </w:rPr>
              <w:t>APP_COURSES</w:t>
            </w:r>
          </w:p>
        </w:tc>
        <w:tc>
          <w:tcPr>
            <w:tcW w:type="dxa" w:w="3120"/>
          </w:tcPr>
          <w:p>
            <w:pPr>
              <w:spacing w:after="0"/>
            </w:pPr>
            <w:r>
              <w:rPr>
                <w:sz w:val="18"/>
              </w:rPr>
              <w:t>Liste de courses active</w:t>
            </w:r>
          </w:p>
        </w:tc>
        <w:tc>
          <w:tcPr>
            <w:tcW w:type="dxa" w:w="3120"/>
          </w:tcPr>
          <w:p>
            <w:pPr>
              <w:spacing w:after="0"/>
            </w:pPr>
            <w:r>
              <w:rPr>
                <w:sz w:val="18"/>
              </w:rPr>
              <w:t>Articles à acheter, magasin actuel, statut d’achat.</w:t>
            </w:r>
          </w:p>
        </w:tc>
      </w:tr>
      <w:tr>
        <w:tc>
          <w:tcPr>
            <w:tcW w:type="dxa" w:w="3120"/>
          </w:tcPr>
          <w:p>
            <w:pPr>
              <w:spacing w:after="0"/>
            </w:pPr>
            <w:r>
              <w:rPr>
                <w:sz w:val="18"/>
              </w:rPr>
              <w:t>APP_MENUS</w:t>
            </w:r>
          </w:p>
        </w:tc>
        <w:tc>
          <w:tcPr>
            <w:tcW w:type="dxa" w:w="3120"/>
          </w:tcPr>
          <w:p>
            <w:pPr>
              <w:spacing w:after="0"/>
            </w:pPr>
            <w:r>
              <w:rPr>
                <w:sz w:val="18"/>
              </w:rPr>
              <w:t>Menus planifiés</w:t>
            </w:r>
          </w:p>
        </w:tc>
        <w:tc>
          <w:tcPr>
            <w:tcW w:type="dxa" w:w="3120"/>
          </w:tcPr>
          <w:p>
            <w:pPr>
              <w:spacing w:after="0"/>
            </w:pPr>
            <w:r>
              <w:rPr>
                <w:sz w:val="18"/>
              </w:rPr>
              <w:t>Date, repas, personnes, menu, URL recette, commentaire, Chouchou, Loulou, évaluation.</w:t>
            </w:r>
          </w:p>
        </w:tc>
      </w:tr>
      <w:tr>
        <w:tc>
          <w:tcPr>
            <w:tcW w:type="dxa" w:w="3120"/>
          </w:tcPr>
          <w:p>
            <w:pPr>
              <w:spacing w:after="0"/>
            </w:pPr>
            <w:r>
              <w:rPr>
                <w:sz w:val="18"/>
              </w:rPr>
              <w:t>APP_RESTES</w:t>
            </w:r>
          </w:p>
        </w:tc>
        <w:tc>
          <w:tcPr>
            <w:tcW w:type="dxa" w:w="3120"/>
          </w:tcPr>
          <w:p>
            <w:pPr>
              <w:spacing w:after="0"/>
            </w:pPr>
            <w:r>
              <w:rPr>
                <w:sz w:val="18"/>
              </w:rPr>
              <w:t>Restes disponibles</w:t>
            </w:r>
          </w:p>
        </w:tc>
        <w:tc>
          <w:tcPr>
            <w:tcW w:type="dxa" w:w="3120"/>
          </w:tcPr>
          <w:p>
            <w:pPr>
              <w:spacing w:after="0"/>
            </w:pPr>
            <w:r>
              <w:rPr>
                <w:sz w:val="18"/>
              </w:rPr>
              <w:t>Catégorie, urgence, quantité, péremption, affectation à un menu.</w:t>
            </w:r>
          </w:p>
        </w:tc>
      </w:tr>
      <w:tr>
        <w:tc>
          <w:tcPr>
            <w:tcW w:type="dxa" w:w="3120"/>
          </w:tcPr>
          <w:p>
            <w:pPr>
              <w:spacing w:after="0"/>
            </w:pPr>
            <w:r>
              <w:rPr>
                <w:sz w:val="18"/>
              </w:rPr>
              <w:t>APP_HISTORIQUE_MENUS</w:t>
            </w:r>
          </w:p>
        </w:tc>
        <w:tc>
          <w:tcPr>
            <w:tcW w:type="dxa" w:w="3120"/>
          </w:tcPr>
          <w:p>
            <w:pPr>
              <w:spacing w:after="0"/>
            </w:pPr>
            <w:r>
              <w:rPr>
                <w:sz w:val="18"/>
              </w:rPr>
              <w:t>Historique des menus</w:t>
            </w:r>
          </w:p>
        </w:tc>
        <w:tc>
          <w:tcPr>
            <w:tcW w:type="dxa" w:w="3120"/>
          </w:tcPr>
          <w:p>
            <w:pPr>
              <w:spacing w:after="0"/>
            </w:pPr>
            <w:r>
              <w:rPr>
                <w:sz w:val="18"/>
              </w:rPr>
              <w:t>Recherche par mot-clé, mois et évaluation.</w:t>
            </w:r>
          </w:p>
        </w:tc>
      </w:tr>
      <w:tr>
        <w:tc>
          <w:tcPr>
            <w:tcW w:type="dxa" w:w="3120"/>
          </w:tcPr>
          <w:p>
            <w:pPr>
              <w:spacing w:after="0"/>
            </w:pPr>
            <w:r>
              <w:rPr>
                <w:sz w:val="18"/>
              </w:rPr>
              <w:t>APP_REFERENCES</w:t>
            </w:r>
          </w:p>
        </w:tc>
        <w:tc>
          <w:tcPr>
            <w:tcW w:type="dxa" w:w="3120"/>
          </w:tcPr>
          <w:p>
            <w:pPr>
              <w:spacing w:after="0"/>
            </w:pPr>
            <w:r>
              <w:rPr>
                <w:sz w:val="18"/>
              </w:rPr>
              <w:t>Listes administrables</w:t>
            </w:r>
          </w:p>
        </w:tc>
        <w:tc>
          <w:tcPr>
            <w:tcW w:type="dxa" w:w="3120"/>
          </w:tcPr>
          <w:p>
            <w:pPr>
              <w:spacing w:after="0"/>
            </w:pPr>
            <w:r>
              <w:rPr>
                <w:sz w:val="18"/>
              </w:rPr>
              <w:t>Magasins, rayons, lieux Chouchou/Loulou, catégories de restes.</w:t>
            </w:r>
          </w:p>
        </w:tc>
      </w:tr>
      <w:tr>
        <w:tc>
          <w:tcPr>
            <w:tcW w:type="dxa" w:w="3120"/>
          </w:tcPr>
          <w:p>
            <w:pPr>
              <w:spacing w:after="0"/>
            </w:pPr>
            <w:r>
              <w:rPr>
                <w:sz w:val="18"/>
              </w:rPr>
              <w:t>APP_IDEES_PLATS</w:t>
            </w:r>
          </w:p>
        </w:tc>
        <w:tc>
          <w:tcPr>
            <w:tcW w:type="dxa" w:w="3120"/>
          </w:tcPr>
          <w:p>
            <w:pPr>
              <w:spacing w:after="0"/>
            </w:pPr>
            <w:r>
              <w:rPr>
                <w:sz w:val="18"/>
              </w:rPr>
              <w:t>Plats à tester</w:t>
            </w:r>
          </w:p>
        </w:tc>
        <w:tc>
          <w:tcPr>
            <w:tcW w:type="dxa" w:w="3120"/>
          </w:tcPr>
          <w:p>
            <w:pPr>
              <w:spacing w:after="0"/>
            </w:pPr>
            <w:r>
              <w:rPr>
                <w:sz w:val="18"/>
              </w:rPr>
              <w:t>Plat, URL, commentaire, statut de planification, évaluation.</w:t>
            </w:r>
          </w:p>
        </w:tc>
      </w:tr>
      <w:tr>
        <w:tc>
          <w:tcPr>
            <w:tcW w:type="dxa" w:w="3120"/>
          </w:tcPr>
          <w:p>
            <w:pPr>
              <w:spacing w:after="0"/>
            </w:pPr>
            <w:r>
              <w:rPr>
                <w:sz w:val="18"/>
              </w:rPr>
              <w:t>APP_LEGUMES_SAISON</w:t>
            </w:r>
          </w:p>
        </w:tc>
        <w:tc>
          <w:tcPr>
            <w:tcW w:type="dxa" w:w="3120"/>
          </w:tcPr>
          <w:p>
            <w:pPr>
              <w:spacing w:after="0"/>
            </w:pPr>
            <w:r>
              <w:rPr>
                <w:sz w:val="18"/>
              </w:rPr>
              <w:t>Légumes de saison</w:t>
            </w:r>
          </w:p>
        </w:tc>
        <w:tc>
          <w:tcPr>
            <w:tcW w:type="dxa" w:w="3120"/>
          </w:tcPr>
          <w:p>
            <w:pPr>
              <w:spacing w:after="0"/>
            </w:pPr>
            <w:r>
              <w:rPr>
                <w:sz w:val="18"/>
              </w:rPr>
              <w:t>Liste issue de LEGUMES SAISON SYNTHESE.</w:t>
            </w:r>
          </w:p>
        </w:tc>
      </w:tr>
    </w:tbl>
    <w:p/>
    <w:p>
      <w:pPr>
        <w:pStyle w:val="Heading1"/>
      </w:pPr>
      <w:r>
        <w:t>4. Navigation et vues applicatives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00"/>
            <w:tcMar>
              <w:top w:w="80" w:type="dxa"/>
              <w:start w:w="120" w:type="dxa"/>
              <w:bottom w:w="80" w:type="dxa"/>
              <w:end w:w="120" w:type="dxa"/>
            </w:tcMar>
            <w:vAlign w:val="center"/>
            <w:shd w:fill="E8EEF5"/>
          </w:tcPr>
          <w:p>
            <w:r>
              <w:rPr>
                <w:b/>
                <w:sz w:val="18"/>
              </w:rPr>
              <w:t>Vue</w:t>
            </w:r>
          </w:p>
        </w:tc>
        <w:tc>
          <w:tcPr>
            <w:tcW w:type="dxa" w:w="2952"/>
            <w:tcMar>
              <w:top w:w="80" w:type="dxa"/>
              <w:start w:w="120" w:type="dxa"/>
              <w:bottom w:w="80" w:type="dxa"/>
              <w:end w:w="120" w:type="dxa"/>
            </w:tcMar>
            <w:vAlign w:val="center"/>
            <w:shd w:fill="E8EEF5"/>
          </w:tcPr>
          <w:p>
            <w:r>
              <w:rPr>
                <w:b/>
                <w:sz w:val="18"/>
              </w:rPr>
              <w:t>Finalité</w:t>
            </w:r>
          </w:p>
        </w:tc>
        <w:tc>
          <w:tcPr>
            <w:tcW w:type="dxa" w:w="4608"/>
            <w:tcMar>
              <w:top w:w="80" w:type="dxa"/>
              <w:start w:w="120" w:type="dxa"/>
              <w:bottom w:w="80" w:type="dxa"/>
              <w:end w:w="120" w:type="dxa"/>
            </w:tcMar>
            <w:vAlign w:val="center"/>
            <w:shd w:fill="E8EEF5"/>
          </w:tcPr>
          <w:p>
            <w:r>
              <w:rPr>
                <w:b/>
                <w:sz w:val="18"/>
              </w:rPr>
              <w:t>Éléments clés</w:t>
            </w:r>
          </w:p>
        </w:tc>
      </w:tr>
      <w:tr>
        <w:tc>
          <w:tcPr>
            <w:tcW w:type="dxa" w:w="3120"/>
          </w:tcPr>
          <w:p>
            <w:pPr>
              <w:spacing w:after="0"/>
            </w:pPr>
            <w:r>
              <w:rPr>
                <w:sz w:val="18"/>
              </w:rPr>
              <w:t>Menus</w:t>
            </w:r>
          </w:p>
        </w:tc>
        <w:tc>
          <w:tcPr>
            <w:tcW w:type="dxa" w:w="3120"/>
          </w:tcPr>
          <w:p>
            <w:pPr>
              <w:spacing w:after="0"/>
            </w:pPr>
            <w:r>
              <w:rPr>
                <w:sz w:val="18"/>
              </w:rPr>
              <w:t>Vue par défaut à l’ouverture.</w:t>
            </w:r>
          </w:p>
        </w:tc>
        <w:tc>
          <w:tcPr>
            <w:tcW w:type="dxa" w:w="3120"/>
          </w:tcPr>
          <w:p>
            <w:pPr>
              <w:spacing w:after="0"/>
            </w:pPr>
            <w:r>
              <w:rPr>
                <w:sz w:val="18"/>
              </w:rPr>
              <w:t>Affichage hebdomadaire Date / Midi / Soir ; édition, commentaire sans menu obligatoire, recette, évaluation, duplication.</w:t>
            </w:r>
          </w:p>
        </w:tc>
      </w:tr>
      <w:tr>
        <w:tc>
          <w:tcPr>
            <w:tcW w:type="dxa" w:w="3120"/>
          </w:tcPr>
          <w:p>
            <w:pPr>
              <w:spacing w:after="0"/>
            </w:pPr>
            <w:r>
              <w:rPr>
                <w:sz w:val="18"/>
              </w:rPr>
              <w:t>Courses</w:t>
            </w:r>
          </w:p>
        </w:tc>
        <w:tc>
          <w:tcPr>
            <w:tcW w:type="dxa" w:w="3120"/>
          </w:tcPr>
          <w:p>
            <w:pPr>
              <w:spacing w:after="0"/>
            </w:pPr>
            <w:r>
              <w:rPr>
                <w:sz w:val="18"/>
              </w:rPr>
              <w:t>Usage en magasin.</w:t>
            </w:r>
          </w:p>
        </w:tc>
        <w:tc>
          <w:tcPr>
            <w:tcW w:type="dxa" w:w="3120"/>
          </w:tcPr>
          <w:p>
            <w:pPr>
              <w:spacing w:after="0"/>
            </w:pPr>
            <w:r>
              <w:rPr>
                <w:sz w:val="18"/>
              </w:rPr>
              <w:t>Cocher un article, annuler une coche, modifier tous les champs, tri par rayon ou magasin.</w:t>
            </w:r>
          </w:p>
        </w:tc>
      </w:tr>
      <w:tr>
        <w:tc>
          <w:tcPr>
            <w:tcW w:type="dxa" w:w="3120"/>
          </w:tcPr>
          <w:p>
            <w:pPr>
              <w:spacing w:after="0"/>
            </w:pPr>
            <w:r>
              <w:rPr>
                <w:sz w:val="18"/>
              </w:rPr>
              <w:t>Référentiel</w:t>
            </w:r>
          </w:p>
        </w:tc>
        <w:tc>
          <w:tcPr>
            <w:tcW w:type="dxa" w:w="3120"/>
          </w:tcPr>
          <w:p>
            <w:pPr>
              <w:spacing w:after="0"/>
            </w:pPr>
            <w:r>
              <w:rPr>
                <w:sz w:val="18"/>
              </w:rPr>
              <w:t>Préparation des courses.</w:t>
            </w:r>
          </w:p>
        </w:tc>
        <w:tc>
          <w:tcPr>
            <w:tcW w:type="dxa" w:w="3120"/>
          </w:tcPr>
          <w:p>
            <w:pPr>
              <w:spacing w:after="0"/>
            </w:pPr>
            <w:r>
              <w:rPr>
                <w:sz w:val="18"/>
              </w:rPr>
              <w:t>Écarter, vérifier, acheter, modifier, supprimer ; filtrage des éléments écartés.</w:t>
            </w:r>
          </w:p>
        </w:tc>
      </w:tr>
      <w:tr>
        <w:tc>
          <w:tcPr>
            <w:tcW w:type="dxa" w:w="3120"/>
          </w:tcPr>
          <w:p>
            <w:pPr>
              <w:spacing w:after="0"/>
            </w:pPr>
            <w:r>
              <w:rPr>
                <w:sz w:val="18"/>
              </w:rPr>
              <w:t>Restes</w:t>
            </w:r>
          </w:p>
        </w:tc>
        <w:tc>
          <w:tcPr>
            <w:tcW w:type="dxa" w:w="3120"/>
          </w:tcPr>
          <w:p>
            <w:pPr>
              <w:spacing w:after="0"/>
            </w:pPr>
            <w:r>
              <w:rPr>
                <w:sz w:val="18"/>
              </w:rPr>
              <w:t>Gestion des aliments/plats disponibles.</w:t>
            </w:r>
          </w:p>
        </w:tc>
        <w:tc>
          <w:tcPr>
            <w:tcW w:type="dxa" w:w="3120"/>
          </w:tcPr>
          <w:p>
            <w:pPr>
              <w:spacing w:after="0"/>
            </w:pPr>
            <w:r>
              <w:rPr>
                <w:sz w:val="18"/>
              </w:rPr>
              <w:t>Catégories administrables, urgence, péremption, affectation à un menu.</w:t>
            </w:r>
          </w:p>
        </w:tc>
      </w:tr>
      <w:tr>
        <w:tc>
          <w:tcPr>
            <w:tcW w:type="dxa" w:w="3120"/>
          </w:tcPr>
          <w:p>
            <w:pPr>
              <w:spacing w:after="0"/>
            </w:pPr>
            <w:r>
              <w:rPr>
                <w:sz w:val="18"/>
              </w:rPr>
              <w:t>Historique</w:t>
            </w:r>
          </w:p>
        </w:tc>
        <w:tc>
          <w:tcPr>
            <w:tcW w:type="dxa" w:w="3120"/>
          </w:tcPr>
          <w:p>
            <w:pPr>
              <w:spacing w:after="0"/>
            </w:pPr>
            <w:r>
              <w:rPr>
                <w:sz w:val="18"/>
              </w:rPr>
              <w:t>Retrouver d’anciens menus.</w:t>
            </w:r>
          </w:p>
        </w:tc>
        <w:tc>
          <w:tcPr>
            <w:tcW w:type="dxa" w:w="3120"/>
          </w:tcPr>
          <w:p>
            <w:pPr>
              <w:spacing w:after="0"/>
            </w:pPr>
            <w:r>
              <w:rPr>
                <w:sz w:val="18"/>
              </w:rPr>
              <w:t>Recherche lancée par bouton, filtre par mois et évaluation.</w:t>
            </w:r>
          </w:p>
        </w:tc>
      </w:tr>
      <w:tr>
        <w:tc>
          <w:tcPr>
            <w:tcW w:type="dxa" w:w="3120"/>
          </w:tcPr>
          <w:p>
            <w:pPr>
              <w:spacing w:after="0"/>
            </w:pPr>
            <w:r>
              <w:rPr>
                <w:sz w:val="18"/>
              </w:rPr>
              <w:t>À tester</w:t>
            </w:r>
          </w:p>
        </w:tc>
        <w:tc>
          <w:tcPr>
            <w:tcW w:type="dxa" w:w="3120"/>
          </w:tcPr>
          <w:p>
            <w:pPr>
              <w:spacing w:after="0"/>
            </w:pPr>
            <w:r>
              <w:rPr>
                <w:sz w:val="18"/>
              </w:rPr>
              <w:t>Stocker des plats à essayer plus tard.</w:t>
            </w:r>
          </w:p>
        </w:tc>
        <w:tc>
          <w:tcPr>
            <w:tcW w:type="dxa" w:w="3120"/>
          </w:tcPr>
          <w:p>
            <w:pPr>
              <w:spacing w:after="0"/>
            </w:pPr>
            <w:r>
              <w:rPr>
                <w:sz w:val="18"/>
              </w:rPr>
              <w:t>Plat, URL, commentaire, évaluation, planification sans disparition de la liste.</w:t>
            </w:r>
          </w:p>
        </w:tc>
      </w:tr>
      <w:tr>
        <w:tc>
          <w:tcPr>
            <w:tcW w:type="dxa" w:w="3120"/>
          </w:tcPr>
          <w:p>
            <w:pPr>
              <w:spacing w:after="0"/>
            </w:pPr>
            <w:r>
              <w:rPr>
                <w:sz w:val="18"/>
              </w:rPr>
              <w:t>Saison</w:t>
            </w:r>
          </w:p>
        </w:tc>
        <w:tc>
          <w:tcPr>
            <w:tcW w:type="dxa" w:w="3120"/>
          </w:tcPr>
          <w:p>
            <w:pPr>
              <w:spacing w:after="0"/>
            </w:pPr>
            <w:r>
              <w:rPr>
                <w:sz w:val="18"/>
              </w:rPr>
              <w:t>Inspiration légumes de saison.</w:t>
            </w:r>
          </w:p>
        </w:tc>
        <w:tc>
          <w:tcPr>
            <w:tcW w:type="dxa" w:w="3120"/>
          </w:tcPr>
          <w:p>
            <w:pPr>
              <w:spacing w:after="0"/>
            </w:pPr>
            <w:r>
              <w:rPr>
                <w:sz w:val="18"/>
              </w:rPr>
              <w:t>Sélecteur de mois et liste des légumes de saison.</w:t>
            </w:r>
          </w:p>
        </w:tc>
      </w:tr>
      <w:tr>
        <w:tc>
          <w:tcPr>
            <w:tcW w:type="dxa" w:w="3120"/>
          </w:tcPr>
          <w:p>
            <w:pPr>
              <w:spacing w:after="0"/>
            </w:pPr>
            <w:r>
              <w:rPr>
                <w:sz w:val="18"/>
              </w:rPr>
              <w:t>Admin</w:t>
            </w:r>
          </w:p>
        </w:tc>
        <w:tc>
          <w:tcPr>
            <w:tcW w:type="dxa" w:w="3120"/>
          </w:tcPr>
          <w:p>
            <w:pPr>
              <w:spacing w:after="0"/>
            </w:pPr>
            <w:r>
              <w:rPr>
                <w:sz w:val="18"/>
              </w:rPr>
              <w:t>Administration des valeurs de référence.</w:t>
            </w:r>
          </w:p>
        </w:tc>
        <w:tc>
          <w:tcPr>
            <w:tcW w:type="dxa" w:w="3120"/>
          </w:tcPr>
          <w:p>
            <w:pPr>
              <w:spacing w:after="0"/>
            </w:pPr>
            <w:r>
              <w:rPr>
                <w:sz w:val="18"/>
              </w:rPr>
              <w:t>Magasins, rayons, catégories, lieux Chouchou/Loulou, ordre par glisser-déposer.</w:t>
            </w:r>
          </w:p>
        </w:tc>
      </w:tr>
    </w:tbl>
    <w:p/>
    <w:p>
      <w:pPr>
        <w:pStyle w:val="Heading1"/>
      </w:pPr>
      <w:r>
        <w:t>5. Processus métier cible</w:t>
      </w:r>
    </w:p>
    <w:p>
      <w:pPr>
        <w:pStyle w:val="Heading2"/>
      </w:pPr>
      <w:r>
        <w:t>5.1 Préparer les courses</w:t>
      </w:r>
    </w:p>
    <w:p>
      <w:pPr>
        <w:pStyle w:val="ListNumber"/>
      </w:pPr>
      <w:r>
        <w:t>Démarrer une nouvelle préparation depuis le référentiel.</w:t>
      </w:r>
    </w:p>
    <w:p>
      <w:pPr>
        <w:pStyle w:val="ListNumber"/>
      </w:pPr>
      <w:r>
        <w:t>Parcourir les produits récurrents et les classer : écarter, vérifier ou acheter.</w:t>
      </w:r>
    </w:p>
    <w:p>
      <w:pPr>
        <w:pStyle w:val="ListNumber"/>
      </w:pPr>
      <w:r>
        <w:t>Ajouter des produits spécifiques directement dans la liste de courses si nécessaire.</w:t>
      </w:r>
    </w:p>
    <w:p>
      <w:pPr>
        <w:pStyle w:val="ListNumber"/>
      </w:pPr>
      <w:r>
        <w:t>Modifier quantité, rayon, magasin, conditionnement ou commentaire directement depuis la liste de courses.</w:t>
      </w:r>
    </w:p>
    <w:p>
      <w:pPr>
        <w:pStyle w:val="ListNumber"/>
      </w:pPr>
      <w:r>
        <w:t>Laisser les membres de la famille compléter la liste via le lien partagé.</w:t>
      </w:r>
    </w:p>
    <w:p>
      <w:pPr>
        <w:pStyle w:val="Heading2"/>
      </w:pPr>
      <w:r>
        <w:t>5.2 Faire les courses</w:t>
      </w:r>
    </w:p>
    <w:p>
      <w:pPr>
        <w:pStyle w:val="ListBullet"/>
      </w:pPr>
      <w:r>
        <w:t>Les articles cochés disparaissent immédiatement de la liste locale.</w:t>
      </w:r>
    </w:p>
    <w:p>
      <w:pPr>
        <w:pStyle w:val="ListBullet"/>
      </w:pPr>
      <w:r>
        <w:t>Un bandeau ou une action d’annulation permet de remettre un article coché par erreur.</w:t>
      </w:r>
    </w:p>
    <w:p>
      <w:pPr>
        <w:pStyle w:val="ListBullet"/>
      </w:pPr>
      <w:r>
        <w:t>Le magasin actuel d’un produit peut être modifié si le produit est indisponible dans le magasin prévu.</w:t>
      </w:r>
    </w:p>
    <w:p>
      <w:pPr>
        <w:pStyle w:val="ListBullet"/>
      </w:pPr>
      <w:r>
        <w:t>Les tris disponibles sont : par rayon avec sous-tri magasin ; par magasin avec sous-tri rayon.</w:t>
      </w:r>
    </w:p>
    <w:p>
      <w:pPr>
        <w:pStyle w:val="Heading2"/>
      </w:pPr>
      <w:r>
        <w:t>5.3 Planifier les menus</w:t>
      </w:r>
    </w:p>
    <w:p>
      <w:pPr>
        <w:pStyle w:val="ListBullet"/>
      </w:pPr>
      <w:r>
        <w:t>La semaine commence le samedi, avec possibilité d’étendre l’affichage à quelques jours avant ou après.</w:t>
      </w:r>
    </w:p>
    <w:p>
      <w:pPr>
        <w:pStyle w:val="ListBullet"/>
      </w:pPr>
      <w:r>
        <w:t>Chaque jour contient deux repas : midi et soir.</w:t>
      </w:r>
    </w:p>
    <w:p>
      <w:pPr>
        <w:pStyle w:val="ListBullet"/>
      </w:pPr>
      <w:r>
        <w:t>Un menu peut être créé même si le champ Menu est vide, par exemple pour noter un commentaire préparatoire.</w:t>
      </w:r>
    </w:p>
    <w:p>
      <w:pPr>
        <w:pStyle w:val="ListBullet"/>
      </w:pPr>
      <w:r>
        <w:t>Un menu peut être déplacé ou dupliqué vers une autre date et un autre repas.</w:t>
      </w:r>
    </w:p>
    <w:p>
      <w:pPr>
        <w:pStyle w:val="ListBullet"/>
      </w:pPr>
      <w:r>
        <w:t>La duplication copie les informations de menu, recette, personnes, commentaire, Chouchou, Loulou et évaluation, mais pas les restes.</w:t>
      </w:r>
    </w:p>
    <w:p>
      <w:pPr>
        <w:pStyle w:val="Heading1"/>
      </w:pPr>
      <w:r>
        <w:t>6. Règles détaillées par domaine</w:t>
      </w:r>
    </w:p>
    <w:p>
      <w:pPr>
        <w:pStyle w:val="Heading2"/>
      </w:pPr>
      <w:r>
        <w:t>6.1 Courses</w:t>
      </w:r>
    </w:p>
    <w:p>
      <w:pPr>
        <w:pStyle w:val="ListBullet"/>
      </w:pPr>
      <w:r>
        <w:t>Le bouton de coche doit être instantané et ne pas déclencher de rafraîchissement global visible.</w:t>
      </w:r>
    </w:p>
    <w:p>
      <w:pPr>
        <w:pStyle w:val="ListBullet"/>
      </w:pPr>
      <w:r>
        <w:t>La mise à jour serveur se fait en arrière-plan ; l’ergonomie locale prime.</w:t>
      </w:r>
    </w:p>
    <w:p>
      <w:pPr>
        <w:pStyle w:val="ListBullet"/>
      </w:pPr>
      <w:r>
        <w:t>Sur mobile, rayon et magasin sont affichés côte à côte sans préfixes textuels inutiles.</w:t>
      </w:r>
    </w:p>
    <w:p>
      <w:pPr>
        <w:pStyle w:val="ListBullet"/>
      </w:pPr>
      <w:r>
        <w:t>Le bouton Modifier est aligné avec la coche et les informations compactes pour maintenir une lecture fluide.</w:t>
      </w:r>
    </w:p>
    <w:p>
      <w:pPr>
        <w:pStyle w:val="Heading2"/>
      </w:pPr>
      <w:r>
        <w:t>6.2 Référentiel</w:t>
      </w:r>
    </w:p>
    <w:p>
      <w:pPr>
        <w:pStyle w:val="ListBullet"/>
      </w:pPr>
      <w:r>
        <w:t>Le référentiel est catégorisé par rayon, et non plus par typologie.</w:t>
      </w:r>
    </w:p>
    <w:p>
      <w:pPr>
        <w:pStyle w:val="ListBullet"/>
      </w:pPr>
      <w:r>
        <w:t>Chaque produit peut avoir un magasin par défaut, une quantité par défaut, un conditionnement et une icône.</w:t>
      </w:r>
    </w:p>
    <w:p>
      <w:pPr>
        <w:pStyle w:val="ListBullet"/>
      </w:pPr>
      <w:r>
        <w:t>Les actions de décision doivent rester rapides : écarter, vérifier, acheter.</w:t>
      </w:r>
    </w:p>
    <w:p>
      <w:pPr>
        <w:pStyle w:val="ListBullet"/>
      </w:pPr>
      <w:r>
        <w:t>La suppression d’un produit du référentiel nécessite confirmation.</w:t>
      </w:r>
    </w:p>
    <w:p>
      <w:pPr>
        <w:pStyle w:val="Heading2"/>
      </w:pPr>
      <w:r>
        <w:t>6.3 Restes</w:t>
      </w:r>
    </w:p>
    <w:p>
      <w:pPr>
        <w:pStyle w:val="ListBullet"/>
      </w:pPr>
      <w:r>
        <w:t>Les catégories de restes sont administrables : plats préparés, fruits, légumes, crèmerie, viande &amp; Co, surgelés, épicerie.</w:t>
      </w:r>
    </w:p>
    <w:p>
      <w:pPr>
        <w:pStyle w:val="ListBullet"/>
      </w:pPr>
      <w:r>
        <w:t>Chaque reste peut être urgent ou non urgent, avec code visuel rouge ou jaune clair.</w:t>
      </w:r>
    </w:p>
    <w:p>
      <w:pPr>
        <w:pStyle w:val="ListBullet"/>
      </w:pPr>
      <w:r>
        <w:t>Un reste peut être affecté à une date et un repas ; cette affectation met à jour les menus.</w:t>
      </w:r>
    </w:p>
    <w:p>
      <w:pPr>
        <w:pStyle w:val="ListBullet"/>
      </w:pPr>
      <w:r>
        <w:t>La réinitialisation des restes est volontaire et peut conserver certains éléments cochés.</w:t>
      </w:r>
    </w:p>
    <w:p>
      <w:pPr>
        <w:pStyle w:val="Heading2"/>
      </w:pPr>
      <w:r>
        <w:t>6.4 Menus et historique</w:t>
      </w:r>
    </w:p>
    <w:p>
      <w:pPr>
        <w:pStyle w:val="ListBullet"/>
      </w:pPr>
      <w:r>
        <w:t>Les menus comportent date, repas, nombre de personnes, Chouchou, Loulou, menu, lien recette, commentaire et évaluation.</w:t>
      </w:r>
    </w:p>
    <w:p>
      <w:pPr>
        <w:pStyle w:val="ListBullet"/>
      </w:pPr>
      <w:r>
        <w:t>Le champ Télétravail a été remplacé par Chouchou et Loulou avec valeurs administrables.</w:t>
      </w:r>
    </w:p>
    <w:p>
      <w:pPr>
        <w:pStyle w:val="ListBullet"/>
      </w:pPr>
      <w:r>
        <w:t>L’historique conserve les menus passés et permet de filtrer par mot-clé, mois et notation.</w:t>
      </w:r>
    </w:p>
    <w:p>
      <w:pPr>
        <w:pStyle w:val="ListBullet"/>
      </w:pPr>
      <w:r>
        <w:t>Les étoiles doivent être jaunes et visibles partout où une évaluation est affichée.</w:t>
      </w:r>
    </w:p>
    <w:p>
      <w:pPr>
        <w:pStyle w:val="Heading1"/>
      </w:pPr>
      <w:r>
        <w:t>7. Synchronisation, mode local et résilience réseau</w:t>
      </w:r>
    </w:p>
    <w:tbl>
      <w:tblPr>
        <w:tblW w:type="auto" w:w="0"/>
        <w:jc w:val="center"/>
        <w:tblLayout w:type="fixed"/>
        <w:tblLook w:firstColumn="1" w:firstRow="1" w:lastColumn="0" w:lastRow="0" w:noHBand="0" w:noVBand="1" w:val="04A0"/>
        <w:tblBorders>
          <w:top w:val="single" w:sz="4" w:space="0" w:color="B6C7DC"/>
          <w:left w:val="single" w:sz="4" w:space="0" w:color="B6C7DC"/>
          <w:bottom w:val="single" w:sz="4" w:space="0" w:color="B6C7DC"/>
          <w:right w:val="single" w:sz="4" w:space="0" w:color="B6C7DC"/>
          <w:insideH w:val="single" w:sz="4" w:space="0" w:color="B6C7DC"/>
          <w:insideV w:val="single" w:sz="4" w:space="0" w:color="B6C7DC"/>
        </w:tblBorders>
      </w:tblPr>
      <w:tblGrid>
        <w:gridCol w:w="9360"/>
      </w:tblGrid>
      <w:tr>
        <w:tc>
          <w:tcPr>
            <w:tcW w:type="dxa" w:w="9360"/>
            <w:tcMar>
              <w:top w:w="80" w:type="dxa"/>
              <w:start w:w="120" w:type="dxa"/>
              <w:bottom w:w="80" w:type="dxa"/>
              <w:end w:w="120" w:type="dxa"/>
            </w:tcMar>
            <w:vAlign w:val="center"/>
            <w:shd w:fill="F4F6F9"/>
          </w:tcPr>
          <w:p>
            <w:r>
              <w:rPr>
                <w:b/>
                <w:color w:val="1F3A5F"/>
                <w:sz w:val="20"/>
              </w:rPr>
              <w:t>Principe produit</w:t>
            </w:r>
            <w:r>
              <w:rPr>
                <w:sz w:val="20"/>
              </w:rPr>
              <w:br/>
              <w:t>L’utilisateur ne doit pas perdre confiance dans l’interface lorsqu’il capte peu. Une action locale validée doit rester visible localement, même si la sauvegarde serveur prend du temps.</w:t>
            </w:r>
          </w:p>
        </w:tc>
      </w:tr>
    </w:tbl>
    <w:p/>
    <w:p>
      <w:pPr>
        <w:pStyle w:val="ListBullet"/>
      </w:pPr>
      <w:r>
        <w:t>Les actions fréquentes utilisent une mise à jour optimiste locale.</w:t>
      </w:r>
    </w:p>
    <w:p>
      <w:pPr>
        <w:pStyle w:val="ListBullet"/>
      </w:pPr>
      <w:r>
        <w:t>Le rafraîchissement global est évité après les actions courantes ; les rendus sont ciblés et regroupés.</w:t>
      </w:r>
    </w:p>
    <w:p>
      <w:pPr>
        <w:pStyle w:val="ListBullet"/>
      </w:pPr>
      <w:r>
        <w:t>En cas d’erreur réseau transitoire, l’application conserve la sauvegarde locale, affiche un statut d’attente réseau et réessaie en arrière-plan.</w:t>
      </w:r>
    </w:p>
    <w:p>
      <w:pPr>
        <w:pStyle w:val="ListBullet"/>
      </w:pPr>
      <w:r>
        <w:t>Le polling serveur est suspendu tant que des sauvegardes locales différées existent, pour éviter qu’une ancienne version serveur ne réaffiche des articles déjà cochés.</w:t>
      </w:r>
    </w:p>
    <w:p>
      <w:pPr>
        <w:pStyle w:val="ListBullet"/>
      </w:pPr>
      <w:r>
        <w:t>Les erreurs métier non transitoires peuvent déclencher rollback et message d’erreur.</w:t>
      </w:r>
    </w:p>
    <w:p>
      <w:pPr>
        <w:pStyle w:val="Heading1"/>
      </w:pPr>
      <w:r>
        <w:t>8. Ergonomie mobile</w:t>
      </w:r>
    </w:p>
    <w:p>
      <w:pPr>
        <w:pStyle w:val="ListBullet"/>
      </w:pPr>
      <w:r>
        <w:t>Les cartes doivent réduire le texte répétitif pour maximiser le nombre d’items visibles.</w:t>
      </w:r>
    </w:p>
    <w:p>
      <w:pPr>
        <w:pStyle w:val="ListBullet"/>
      </w:pPr>
      <w:r>
        <w:t>Les actions secondaires doivent être déplacées dans les modales d’édition lorsqu’elles encombrent la vue principale.</w:t>
      </w:r>
    </w:p>
    <w:p>
      <w:pPr>
        <w:pStyle w:val="ListBullet"/>
      </w:pPr>
      <w:r>
        <w:t>Les champs date et repas doivent éviter les chevauchements et respecter la largeur disponible.</w:t>
      </w:r>
    </w:p>
    <w:p>
      <w:pPr>
        <w:pStyle w:val="ListBullet"/>
      </w:pPr>
      <w:r>
        <w:t>Les menus sont affichés en grille : colonne Date, colonne Midi, colonne Soir.</w:t>
      </w:r>
    </w:p>
    <w:p>
      <w:pPr>
        <w:pStyle w:val="ListBullet"/>
      </w:pPr>
      <w:r>
        <w:t>Les boutons de décision essentiels doivent rester accessibles sans forcer l’utilisateur à ouvrir un détail.</w:t>
      </w:r>
    </w:p>
    <w:p>
      <w:pPr>
        <w:pStyle w:val="Heading1"/>
      </w:pPr>
      <w:r>
        <w:t>9. Setup, déploiement et exploitation</w:t>
      </w:r>
    </w:p>
    <w:p>
      <w:pPr>
        <w:pStyle w:val="ListBullet"/>
      </w:pPr>
      <w:r>
        <w:t>Le code est composé de Code.gs et Index.html dans Google Apps Script.</w:t>
      </w:r>
    </w:p>
    <w:p>
      <w:pPr>
        <w:pStyle w:val="ListBullet"/>
      </w:pPr>
      <w:r>
        <w:t>setupApp doit être relancé après une évolution de schéma : ajout d’onglet APP_, ajout ou modification de colonnes, changement de version interne.</w:t>
      </w:r>
    </w:p>
    <w:p>
      <w:pPr>
        <w:pStyle w:val="ListBullet"/>
      </w:pPr>
      <w:r>
        <w:t>setupApp n’est pas nécessaire pour un simple changement d’interface HTML/CSS/JS sans modification de structure de données.</w:t>
      </w:r>
    </w:p>
    <w:p>
      <w:pPr>
        <w:pStyle w:val="ListBullet"/>
      </w:pPr>
      <w:r>
        <w:t>Les onglets APP_ ne doivent pas être supprimés ni modifiés manuellement hors cas contrôlé.</w:t>
      </w:r>
    </w:p>
    <w:p>
      <w:pPr>
        <w:pStyle w:val="ListBullet"/>
      </w:pPr>
      <w:r>
        <w:t>Les anciens onglets sources peuvent être conservés comme archive, mais l’application courante dépend des onglets APP_.</w:t>
      </w:r>
    </w:p>
    <w:p>
      <w:pPr>
        <w:pStyle w:val="Heading1"/>
      </w:pPr>
      <w:r>
        <w:t>10. Backlog et pistes d’évolution</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304"/>
            <w:tcMar>
              <w:top w:w="80" w:type="dxa"/>
              <w:start w:w="120" w:type="dxa"/>
              <w:bottom w:w="80" w:type="dxa"/>
              <w:end w:w="120" w:type="dxa"/>
            </w:tcMar>
            <w:vAlign w:val="center"/>
            <w:shd w:fill="E8EEF5"/>
          </w:tcPr>
          <w:p>
            <w:r>
              <w:rPr>
                <w:b/>
                <w:sz w:val="18"/>
              </w:rPr>
              <w:t>Sujet</w:t>
            </w:r>
          </w:p>
        </w:tc>
        <w:tc>
          <w:tcPr>
            <w:tcW w:type="dxa" w:w="1800"/>
            <w:tcMar>
              <w:top w:w="80" w:type="dxa"/>
              <w:start w:w="120" w:type="dxa"/>
              <w:bottom w:w="80" w:type="dxa"/>
              <w:end w:w="120" w:type="dxa"/>
            </w:tcMar>
            <w:vAlign w:val="center"/>
            <w:shd w:fill="E8EEF5"/>
          </w:tcPr>
          <w:p>
            <w:r>
              <w:rPr>
                <w:b/>
                <w:sz w:val="18"/>
              </w:rPr>
              <w:t>Priorité indicative</w:t>
            </w:r>
          </w:p>
        </w:tc>
        <w:tc>
          <w:tcPr>
            <w:tcW w:type="dxa" w:w="5256"/>
            <w:tcMar>
              <w:top w:w="80" w:type="dxa"/>
              <w:start w:w="120" w:type="dxa"/>
              <w:bottom w:w="80" w:type="dxa"/>
              <w:end w:w="120" w:type="dxa"/>
            </w:tcMar>
            <w:vAlign w:val="center"/>
            <w:shd w:fill="E8EEF5"/>
          </w:tcPr>
          <w:p>
            <w:r>
              <w:rPr>
                <w:b/>
                <w:sz w:val="18"/>
              </w:rPr>
              <w:t>Description</w:t>
            </w:r>
          </w:p>
        </w:tc>
      </w:tr>
      <w:tr>
        <w:tc>
          <w:tcPr>
            <w:tcW w:type="dxa" w:w="3120"/>
          </w:tcPr>
          <w:p>
            <w:pPr>
              <w:spacing w:after="0"/>
            </w:pPr>
            <w:r>
              <w:rPr>
                <w:sz w:val="18"/>
              </w:rPr>
              <w:t>Suggestions de menus</w:t>
            </w:r>
          </w:p>
        </w:tc>
        <w:tc>
          <w:tcPr>
            <w:tcW w:type="dxa" w:w="3120"/>
          </w:tcPr>
          <w:p>
            <w:pPr>
              <w:spacing w:after="0"/>
            </w:pPr>
            <w:r>
              <w:rPr>
                <w:sz w:val="18"/>
              </w:rPr>
              <w:t>Moyenne</w:t>
            </w:r>
          </w:p>
        </w:tc>
        <w:tc>
          <w:tcPr>
            <w:tcW w:type="dxa" w:w="3120"/>
          </w:tcPr>
          <w:p>
            <w:pPr>
              <w:spacing w:after="0"/>
            </w:pPr>
            <w:r>
              <w:rPr>
                <w:sz w:val="18"/>
              </w:rPr>
              <w:t>Proposer des idées à partir des restes, recettes, légumes de saison et historique.</w:t>
            </w:r>
          </w:p>
        </w:tc>
      </w:tr>
      <w:tr>
        <w:tc>
          <w:tcPr>
            <w:tcW w:type="dxa" w:w="3120"/>
          </w:tcPr>
          <w:p>
            <w:pPr>
              <w:spacing w:after="0"/>
            </w:pPr>
            <w:r>
              <w:rPr>
                <w:sz w:val="18"/>
              </w:rPr>
              <w:t>Droits utilisateurs</w:t>
            </w:r>
          </w:p>
        </w:tc>
        <w:tc>
          <w:tcPr>
            <w:tcW w:type="dxa" w:w="3120"/>
          </w:tcPr>
          <w:p>
            <w:pPr>
              <w:spacing w:after="0"/>
            </w:pPr>
            <w:r>
              <w:rPr>
                <w:sz w:val="18"/>
              </w:rPr>
              <w:t>Basse à moyenne</w:t>
            </w:r>
          </w:p>
        </w:tc>
        <w:tc>
          <w:tcPr>
            <w:tcW w:type="dxa" w:w="3120"/>
          </w:tcPr>
          <w:p>
            <w:pPr>
              <w:spacing w:after="0"/>
            </w:pPr>
            <w:r>
              <w:rPr>
                <w:sz w:val="18"/>
              </w:rPr>
              <w:t>Passer du lien commun à des rôles distincts si le besoin familial évolue.</w:t>
            </w:r>
          </w:p>
        </w:tc>
      </w:tr>
      <w:tr>
        <w:tc>
          <w:tcPr>
            <w:tcW w:type="dxa" w:w="3120"/>
          </w:tcPr>
          <w:p>
            <w:pPr>
              <w:spacing w:after="0"/>
            </w:pPr>
            <w:r>
              <w:rPr>
                <w:sz w:val="18"/>
              </w:rPr>
              <w:t>Mode hors ligne renforcé</w:t>
            </w:r>
          </w:p>
        </w:tc>
        <w:tc>
          <w:tcPr>
            <w:tcW w:type="dxa" w:w="3120"/>
          </w:tcPr>
          <w:p>
            <w:pPr>
              <w:spacing w:after="0"/>
            </w:pPr>
            <w:r>
              <w:rPr>
                <w:sz w:val="18"/>
              </w:rPr>
              <w:t>Moyenne</w:t>
            </w:r>
          </w:p>
        </w:tc>
        <w:tc>
          <w:tcPr>
            <w:tcW w:type="dxa" w:w="3120"/>
          </w:tcPr>
          <w:p>
            <w:pPr>
              <w:spacing w:after="0"/>
            </w:pPr>
            <w:r>
              <w:rPr>
                <w:sz w:val="18"/>
              </w:rPr>
              <w:t>Persistance locale plus robuste et file d’attente durable multi-actions.</w:t>
            </w:r>
          </w:p>
        </w:tc>
      </w:tr>
      <w:tr>
        <w:tc>
          <w:tcPr>
            <w:tcW w:type="dxa" w:w="3120"/>
          </w:tcPr>
          <w:p>
            <w:pPr>
              <w:spacing w:after="0"/>
            </w:pPr>
            <w:r>
              <w:rPr>
                <w:sz w:val="18"/>
              </w:rPr>
              <w:t>Statistiques</w:t>
            </w:r>
          </w:p>
        </w:tc>
        <w:tc>
          <w:tcPr>
            <w:tcW w:type="dxa" w:w="3120"/>
          </w:tcPr>
          <w:p>
            <w:pPr>
              <w:spacing w:after="0"/>
            </w:pPr>
            <w:r>
              <w:rPr>
                <w:sz w:val="18"/>
              </w:rPr>
              <w:t>Basse</w:t>
            </w:r>
          </w:p>
        </w:tc>
        <w:tc>
          <w:tcPr>
            <w:tcW w:type="dxa" w:w="3120"/>
          </w:tcPr>
          <w:p>
            <w:pPr>
              <w:spacing w:after="0"/>
            </w:pPr>
            <w:r>
              <w:rPr>
                <w:sz w:val="18"/>
              </w:rPr>
              <w:t>Dernière date d’achat, fréquence d’achat, plats les mieux notés.</w:t>
            </w:r>
          </w:p>
        </w:tc>
      </w:tr>
      <w:tr>
        <w:tc>
          <w:tcPr>
            <w:tcW w:type="dxa" w:w="3120"/>
          </w:tcPr>
          <w:p>
            <w:pPr>
              <w:spacing w:after="0"/>
            </w:pPr>
            <w:r>
              <w:rPr>
                <w:sz w:val="18"/>
              </w:rPr>
              <w:t>Nettoyage technique</w:t>
            </w:r>
          </w:p>
        </w:tc>
        <w:tc>
          <w:tcPr>
            <w:tcW w:type="dxa" w:w="3120"/>
          </w:tcPr>
          <w:p>
            <w:pPr>
              <w:spacing w:after="0"/>
            </w:pPr>
            <w:r>
              <w:rPr>
                <w:sz w:val="18"/>
              </w:rPr>
              <w:t>Continue</w:t>
            </w:r>
          </w:p>
        </w:tc>
        <w:tc>
          <w:tcPr>
            <w:tcW w:type="dxa" w:w="3120"/>
          </w:tcPr>
          <w:p>
            <w:pPr>
              <w:spacing w:after="0"/>
            </w:pPr>
            <w:r>
              <w:rPr>
                <w:sz w:val="18"/>
              </w:rPr>
              <w:t>Réduire le code obsolète et isoler les composants de vue pour maintenir la fluidité.</w:t>
            </w:r>
          </w:p>
        </w:tc>
      </w:tr>
    </w:tbl>
    <w:p/>
    <w:p>
      <w:pPr>
        <w:pStyle w:val="Heading1"/>
      </w:pPr>
      <w:r>
        <w:t>11. Critères d’acceptation synthétiques</w:t>
      </w:r>
    </w:p>
    <w:p>
      <w:pPr>
        <w:pStyle w:val="ListBullet"/>
      </w:pPr>
      <w:r>
        <w:t>Une action de coche dans Courses est instantanée et ne provoque pas de clignotement visible.</w:t>
      </w:r>
    </w:p>
    <w:p>
      <w:pPr>
        <w:pStyle w:val="ListBullet"/>
      </w:pPr>
      <w:r>
        <w:t>Un menu peut être créé avec uniquement un commentaire.</w:t>
      </w:r>
    </w:p>
    <w:p>
      <w:pPr>
        <w:pStyle w:val="ListBullet"/>
      </w:pPr>
      <w:r>
        <w:t>Un menu peut être dupliqué depuis l’édition du menu sans encombrer la carte hebdomadaire.</w:t>
      </w:r>
    </w:p>
    <w:p>
      <w:pPr>
        <w:pStyle w:val="ListBullet"/>
      </w:pPr>
      <w:r>
        <w:t>Un produit de courses peut être modifié quel que soit son mode d’ajout.</w:t>
      </w:r>
    </w:p>
    <w:p>
      <w:pPr>
        <w:pStyle w:val="ListBullet"/>
      </w:pPr>
      <w:r>
        <w:t>Les données critiques restent dans les onglets APP_ et survivent aux changements d’interface.</w:t>
      </w:r>
    </w:p>
    <w:p>
      <w:pPr>
        <w:pStyle w:val="ListBullet"/>
      </w:pPr>
      <w:r>
        <w:t>En réseau faible, l’interface conserve les actions locales et réessaie la sauvegarde serveur sans message d’erreur anxiogène.</w:t>
      </w:r>
    </w:p>
    <w:p>
      <w:r>
        <w:br w:type="page"/>
      </w:r>
    </w:p>
    <w:p>
      <w:pPr>
        <w:pStyle w:val="Heading1"/>
      </w:pPr>
      <w:r>
        <w:t>Annexe A – Glossaire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088"/>
            <w:tcMar>
              <w:top w:w="80" w:type="dxa"/>
              <w:start w:w="120" w:type="dxa"/>
              <w:bottom w:w="80" w:type="dxa"/>
              <w:end w:w="120" w:type="dxa"/>
            </w:tcMar>
            <w:vAlign w:val="center"/>
            <w:shd w:fill="E8EEF5"/>
          </w:tcPr>
          <w:p>
            <w:r>
              <w:rPr>
                <w:b/>
                <w:sz w:val="18"/>
              </w:rPr>
              <w:t>Élément</w:t>
            </w:r>
          </w:p>
        </w:tc>
        <w:tc>
          <w:tcPr>
            <w:tcW w:type="dxa" w:w="7272"/>
            <w:tcMar>
              <w:top w:w="80" w:type="dxa"/>
              <w:start w:w="120" w:type="dxa"/>
              <w:bottom w:w="80" w:type="dxa"/>
              <w:end w:w="120" w:type="dxa"/>
            </w:tcMar>
            <w:vAlign w:val="center"/>
            <w:shd w:fill="E8EEF5"/>
          </w:tcPr>
          <w:p>
            <w:r>
              <w:rPr>
                <w:b/>
                <w:sz w:val="18"/>
              </w:rPr>
              <w:t>Spécification</w:t>
            </w:r>
          </w:p>
        </w:tc>
      </w:tr>
      <w:tr>
        <w:tc>
          <w:tcPr>
            <w:tcW w:type="dxa" w:w="4680"/>
          </w:tcPr>
          <w:p>
            <w:pPr>
              <w:spacing w:after="0"/>
            </w:pPr>
            <w:r>
              <w:rPr>
                <w:sz w:val="18"/>
              </w:rPr>
              <w:t>Référentiel</w:t>
            </w:r>
          </w:p>
        </w:tc>
        <w:tc>
          <w:tcPr>
            <w:tcW w:type="dxa" w:w="4680"/>
          </w:tcPr>
          <w:p>
            <w:pPr>
              <w:spacing w:after="0"/>
            </w:pPr>
            <w:r>
              <w:rPr>
                <w:sz w:val="18"/>
              </w:rPr>
              <w:t>Liste de produits récurrents servant de base à la préparation des courses.</w:t>
            </w:r>
          </w:p>
        </w:tc>
      </w:tr>
      <w:tr>
        <w:tc>
          <w:tcPr>
            <w:tcW w:type="dxa" w:w="4680"/>
          </w:tcPr>
          <w:p>
            <w:pPr>
              <w:spacing w:after="0"/>
            </w:pPr>
            <w:r>
              <w:rPr>
                <w:sz w:val="18"/>
              </w:rPr>
              <w:t>Préparation</w:t>
            </w:r>
          </w:p>
        </w:tc>
        <w:tc>
          <w:tcPr>
            <w:tcW w:type="dxa" w:w="4680"/>
          </w:tcPr>
          <w:p>
            <w:pPr>
              <w:spacing w:after="0"/>
            </w:pPr>
            <w:r>
              <w:rPr>
                <w:sz w:val="18"/>
              </w:rPr>
              <w:t>Phase où les produits du référentiel sont triés entre à acheter, à vérifier et à écarter.</w:t>
            </w:r>
          </w:p>
        </w:tc>
      </w:tr>
      <w:tr>
        <w:tc>
          <w:tcPr>
            <w:tcW w:type="dxa" w:w="4680"/>
          </w:tcPr>
          <w:p>
            <w:pPr>
              <w:spacing w:after="0"/>
            </w:pPr>
            <w:r>
              <w:rPr>
                <w:sz w:val="18"/>
              </w:rPr>
              <w:t>Reste</w:t>
            </w:r>
          </w:p>
        </w:tc>
        <w:tc>
          <w:tcPr>
            <w:tcW w:type="dxa" w:w="4680"/>
          </w:tcPr>
          <w:p>
            <w:pPr>
              <w:spacing w:after="0"/>
            </w:pPr>
            <w:r>
              <w:rPr>
                <w:sz w:val="18"/>
              </w:rPr>
              <w:t>Plat ou produit déjà disponible à la maison, éventuellement à consommer rapidement.</w:t>
            </w:r>
          </w:p>
        </w:tc>
      </w:tr>
      <w:tr>
        <w:tc>
          <w:tcPr>
            <w:tcW w:type="dxa" w:w="4680"/>
          </w:tcPr>
          <w:p>
            <w:pPr>
              <w:spacing w:after="0"/>
            </w:pPr>
            <w:r>
              <w:rPr>
                <w:sz w:val="18"/>
              </w:rPr>
              <w:t>Menu</w:t>
            </w:r>
          </w:p>
        </w:tc>
        <w:tc>
          <w:tcPr>
            <w:tcW w:type="dxa" w:w="4680"/>
          </w:tcPr>
          <w:p>
            <w:pPr>
              <w:spacing w:after="0"/>
            </w:pPr>
            <w:r>
              <w:rPr>
                <w:sz w:val="18"/>
              </w:rPr>
              <w:t>Repas planifié pour une date et un créneau midi ou soir.</w:t>
            </w:r>
          </w:p>
        </w:tc>
      </w:tr>
      <w:tr>
        <w:tc>
          <w:tcPr>
            <w:tcW w:type="dxa" w:w="4680"/>
          </w:tcPr>
          <w:p>
            <w:pPr>
              <w:spacing w:after="0"/>
            </w:pPr>
            <w:r>
              <w:rPr>
                <w:sz w:val="18"/>
              </w:rPr>
              <w:t>APP_</w:t>
            </w:r>
          </w:p>
        </w:tc>
        <w:tc>
          <w:tcPr>
            <w:tcW w:type="dxa" w:w="4680"/>
          </w:tcPr>
          <w:p>
            <w:pPr>
              <w:spacing w:after="0"/>
            </w:pPr>
            <w:r>
              <w:rPr>
                <w:sz w:val="18"/>
              </w:rPr>
              <w:t>Préfixe des onglets Google Sheets utilisés comme base de données applicative.</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