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Édition de Ecommerce v1.20-FR</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Chefs de Projet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Remerciements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w:t>
            </w:r>
            <w:r w:rsidR="00321E99" w:rsidRPr="00827736">
              <w:rPr>
                <w:rFonts w:ascii="Garamond" w:hAnsi="Garamond"/>
                <w:sz w:val="18"/>
                <w:szCs w:val="18"/>
              </w:rPr>
              <w:t>Oana Cornea et d’autres participants du sommet AppSec EU 2015 project, pour leur aide à la création d’une démo vidéo. Colin Watson en tant qu’auteur et chef de projet avec Darío De Filippis, avec d’autres volontaires OWASP qui ont aidé en bien des manières.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L’Édition Site Web e-commerce de Cornucopia est basé sur les concepts et les idées de jeu d’EoP, mais ceux-ci ont été modifiés pour être plus en accord avec les types de problèmes que les développeurs de sites web d’e-commerce rencontrent.</w:t>
            </w:r>
            <w:r w:rsidR="00E34E4A">
              <w:rPr>
                <w:rFonts w:ascii="Garamond" w:hAnsi="Garamond"/>
                <w:sz w:val="20"/>
                <w:szCs w:val="20"/>
              </w:rPr>
              <w:t xml:space="preserve"> </w:t>
            </w:r>
            <w:r w:rsidR="00031B7A">
              <w:rPr>
                <w:rFonts w:ascii="Garamond" w:hAnsi="Garamond"/>
                <w:sz w:val="20"/>
                <w:szCs w:val="20"/>
              </w:rPr>
              <w:t xml:space="preserve">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2DD0FDAF" w14:textId="06FFA29C" w:rsidR="00031B7A" w:rsidRPr="007E493F" w:rsidRDefault="00031B7A" w:rsidP="00C4352E">
            <w:pPr>
              <w:pStyle w:val="C-Head-Middle"/>
            </w:pPr>
            <w:r>
              <w:t>Le jeu de cartes (paquet)</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 Ceux-ci ont permis de constituer cinq couleurs, et une sixième, appelée « Cornucopia » a été créée pour tout le reste :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Validation des données et encodage (VE -EN)</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Authentification (AT -EN)</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Gestion des sessions (SM -EN)</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Habilitation (AZ -EN)</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Cryptographie (CR -EN)</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 -EN)</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Comme au jeu de cartes de poker, chaque couleur comprend 13 cartes (As, 2-10, Valet, Dame et Roi) mais, contrairement à EoP, il y a aussi 2 cartes Joker.  </w:t>
            </w:r>
            <w:r w:rsidR="00C4352E">
              <w:rPr>
                <w:rFonts w:ascii="Garamond" w:hAnsi="Garamond"/>
                <w:sz w:val="20"/>
                <w:szCs w:val="20"/>
              </w:rPr>
              <w:t>Le contenu provient surtout du SCP.</w:t>
            </w:r>
          </w:p>
          <w:p w14:paraId="14A6E052" w14:textId="6C819657" w:rsidR="00C4352E" w:rsidRPr="00D6784A" w:rsidRDefault="00031B7A" w:rsidP="00C4352E">
            <w:pPr>
              <w:pStyle w:val="C-Head-Middle"/>
            </w:pPr>
            <w:r>
              <w:t>Correspondances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L’autre moteur de Cornucopia est de lier les attaques aux exigences et aux techniques de vérification.  </w:t>
            </w:r>
            <w:r w:rsidR="00031B7A">
              <w:rPr>
                <w:rFonts w:ascii="Garamond" w:hAnsi="Garamond"/>
                <w:sz w:val="20"/>
                <w:szCs w:val="20"/>
              </w:rPr>
              <w:t xml:space="preserve">Le but initial était de référencer les identifiants des faiblesses CWE, mais celles-ci étant trop nombreuses, il a été décidé de relier chaque carte à une attaque référencée dans CAPEC, elle-même reliée aux CWE, pour que le but recherché soit atteint. </w:t>
            </w:r>
            <w:r w:rsidR="00B5565C">
              <w:rPr>
                <w:rFonts w:ascii="Garamond" w:hAnsi="Garamond"/>
                <w:sz w:val="20"/>
                <w:szCs w:val="20"/>
              </w:rPr>
              <w:t xml:space="preserve"> </w:t>
            </w:r>
            <w:r w:rsidR="00031B7A">
              <w:rPr>
                <w:rFonts w:ascii="Garamond" w:hAnsi="Garamond"/>
                <w:sz w:val="20"/>
                <w:szCs w:val="20"/>
              </w:rPr>
              <w:t>Chaque carte est également liée aux 36 scénarii de sécurité du document SAFECode, de même à l’OWASP SCP v2, ASVS v3.0.1 et AppSensor (application attack detection and response) pour aider les équipes à créer leurs propres scenarii de sécurité pour utilisation dans les processus Agile.</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Stratégie de jeu</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5ACEC825" w14:textId="2B32B642" w:rsidR="00C4352E" w:rsidRPr="00E2349C" w:rsidRDefault="005870A4" w:rsidP="00C4352E">
            <w:pPr>
              <w:pStyle w:val="C-Head-Middle"/>
            </w:pPr>
            <w:r>
              <w:t>Imprimer les cartes</w:t>
            </w:r>
          </w:p>
          <w:p w14:paraId="6E776ECC" w14:textId="77777777" w:rsidR="00E1192C" w:rsidRDefault="00C4352E" w:rsidP="00C4352E">
            <w:pPr>
              <w:spacing w:after="120"/>
              <w:rPr>
                <w:rFonts w:ascii="Garamond" w:hAnsi="Garamond"/>
                <w:sz w:val="20"/>
                <w:szCs w:val="20"/>
              </w:rPr>
            </w:pPr>
            <w:r>
              <w:rPr>
                <w:rFonts w:ascii="Garamond" w:hAnsi="Garamond"/>
                <w:sz w:val="20"/>
                <w:szCs w:val="20"/>
              </w:rPr>
              <w:t>La page du projet Cornucopia indique comment obtenir des jeux de cartes brillantes pré-imprimées.</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w:t>
            </w:r>
            <w:r w:rsidR="00827F05">
              <w:rPr>
                <w:rFonts w:ascii="Garamond" w:hAnsi="Garamond"/>
                <w:sz w:val="20"/>
                <w:szCs w:val="20"/>
              </w:rPr>
              <w:t xml:space="preserve"> </w:t>
            </w:r>
            <w:r>
              <w:rPr>
                <w:rFonts w:ascii="Garamond" w:hAnsi="Garamond"/>
                <w:sz w:val="20"/>
                <w:szCs w:val="20"/>
              </w:rPr>
              <w:t xml:space="preserve">Les cartes des pages suivantes de ce document ont été mises en page pour sortir sur un modèle de page A4 de cartes business. </w:t>
            </w:r>
            <w:r w:rsidR="00827F05">
              <w:rPr>
                <w:rFonts w:ascii="Garamond" w:hAnsi="Garamond"/>
                <w:sz w:val="20"/>
                <w:szCs w:val="20"/>
              </w:rPr>
              <w:t xml:space="preserve"> </w:t>
            </w:r>
            <w:r>
              <w:rPr>
                <w:rFonts w:ascii="Garamond" w:hAnsi="Garamond"/>
                <w:sz w:val="20"/>
                <w:szCs w:val="20"/>
              </w:rPr>
              <w:t>Ceci semblait être le moyen le plus rapide de créer des cartes à jouer.</w:t>
            </w:r>
            <w:r w:rsidR="00827F05">
              <w:rPr>
                <w:rFonts w:ascii="Garamond" w:hAnsi="Garamond"/>
                <w:sz w:val="20"/>
                <w:szCs w:val="20"/>
              </w:rPr>
              <w:t xml:space="preserve"> </w:t>
            </w:r>
            <w:r>
              <w:rPr>
                <w:rFonts w:ascii="Garamond" w:hAnsi="Garamond"/>
                <w:sz w:val="20"/>
                <w:szCs w:val="20"/>
              </w:rPr>
              <w:t xml:space="preserve">Les codes produit Avery C32015 &amp; C32030 ont été testés avec succès, mais toute page A4 à 10 cartes 85mm x 54 mm devrait convenir avec un peu d’ajustement. </w:t>
            </w:r>
            <w:r w:rsidR="00827F05">
              <w:rPr>
                <w:rFonts w:ascii="Garamond" w:hAnsi="Garamond"/>
                <w:sz w:val="20"/>
                <w:szCs w:val="20"/>
              </w:rPr>
              <w:t xml:space="preserve"> </w:t>
            </w:r>
            <w:r w:rsidR="00C4352E">
              <w:rPr>
                <w:rFonts w:ascii="Garamond" w:hAnsi="Garamond"/>
                <w:sz w:val="20"/>
                <w:szCs w:val="20"/>
              </w:rPr>
              <w:t>Ces modèles de cartes étant plutôt chères, un soin particulier devra être apporté dans la décision du choix du format et de l’imprimante.</w:t>
            </w:r>
            <w:r w:rsidR="00827F05">
              <w:rPr>
                <w:rFonts w:ascii="Garamond" w:hAnsi="Garamond"/>
                <w:sz w:val="20"/>
                <w:szCs w:val="20"/>
              </w:rPr>
              <w:t xml:space="preserve"> </w:t>
            </w:r>
            <w:r>
              <w:rPr>
                <w:rFonts w:ascii="Garamond" w:hAnsi="Garamond"/>
                <w:sz w:val="20"/>
                <w:szCs w:val="20"/>
              </w:rPr>
              <w:t xml:space="preserve">Les cartes peuvent bien entendu être imprimées sur tout format de papier ou carton, puis coupées manuellement, ou une imprimante professionnelle sera capable d’imprimer de plus grandes quantités et de couper les cartes à la bonne taille. </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Les lignes de coupe sont indiquées à l’avant-dernière page de ce document, mais Avery fournit également un modèle A4 en paysage (A-0017-01_L.doc) qui peut être utilise comme guide. </w:t>
            </w:r>
            <w:r w:rsidR="00DB35C6">
              <w:rPr>
                <w:rFonts w:ascii="Garamond" w:hAnsi="Garamond"/>
                <w:sz w:val="20"/>
                <w:szCs w:val="20"/>
              </w:rPr>
              <w:t xml:space="preserve"> </w:t>
            </w:r>
            <w:r w:rsidR="005870A4">
              <w:rPr>
                <w:rFonts w:ascii="Garamond" w:hAnsi="Garamond"/>
                <w:sz w:val="20"/>
                <w:szCs w:val="20"/>
              </w:rPr>
              <w:t>L’impression et la découpe peuvent prendre environ une heure, une imprimante rapide est conseillée.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Privilégiez une haute qualité d’impression pour gagner en lisibilité.</w:t>
            </w:r>
            <w:r w:rsidR="00DB35C6">
              <w:rPr>
                <w:rFonts w:ascii="Garamond" w:hAnsi="Garamond"/>
                <w:sz w:val="20"/>
                <w:szCs w:val="20"/>
              </w:rPr>
              <w:t xml:space="preserve"> </w:t>
            </w:r>
            <w:r>
              <w:rPr>
                <w:rFonts w:ascii="Garamond" w:hAnsi="Garamond"/>
                <w:sz w:val="20"/>
                <w:szCs w:val="20"/>
              </w:rPr>
              <w:t>Un style optionnel de dos de carte (tartan OWASP) est fourni dans la dernière page de ce document.</w:t>
            </w:r>
            <w:r w:rsidR="00DB35C6">
              <w:rPr>
                <w:rFonts w:ascii="Garamond" w:hAnsi="Garamond"/>
                <w:sz w:val="20"/>
                <w:szCs w:val="20"/>
              </w:rPr>
              <w:t xml:space="preserve"> </w:t>
            </w:r>
            <w:r>
              <w:rPr>
                <w:rFonts w:ascii="Garamond" w:hAnsi="Garamond"/>
                <w:sz w:val="20"/>
                <w:szCs w:val="20"/>
              </w:rPr>
              <w:t>Il n’y a pas d’alignement spécial à prendre en compte.</w:t>
            </w:r>
            <w:r w:rsidR="00DB35C6">
              <w:rPr>
                <w:rFonts w:ascii="Garamond" w:hAnsi="Garamond"/>
                <w:sz w:val="20"/>
                <w:szCs w:val="20"/>
              </w:rPr>
              <w:t xml:space="preserve"> </w:t>
            </w:r>
            <w:r>
              <w:rPr>
                <w:rFonts w:ascii="Garamond" w:hAnsi="Garamond"/>
                <w:sz w:val="20"/>
                <w:szCs w:val="20"/>
              </w:rPr>
              <w:t>L’impression recto-verso doit être faite avec soin.</w:t>
            </w:r>
            <w:r w:rsidR="00DB35C6">
              <w:rPr>
                <w:rFonts w:ascii="Garamond" w:hAnsi="Garamond"/>
                <w:sz w:val="20"/>
                <w:szCs w:val="20"/>
              </w:rPr>
              <w:t xml:space="preserve"> </w:t>
            </w:r>
            <w:r w:rsidR="00C4352E">
              <w:rPr>
                <w:rFonts w:ascii="Garamond" w:hAnsi="Garamond"/>
                <w:sz w:val="20"/>
                <w:szCs w:val="20"/>
              </w:rPr>
              <w:t>Vous pouvez personnaliser les rectos ou les versos pour coller aux préférences de votre organisation.</w:t>
            </w:r>
            <w:r w:rsidR="00DB35C6">
              <w:rPr>
                <w:rFonts w:ascii="Garamond" w:hAnsi="Garamond"/>
                <w:sz w:val="20"/>
                <w:szCs w:val="20"/>
              </w:rPr>
              <w:t xml:space="preserve"> </w:t>
            </w:r>
            <w:r>
              <w:rPr>
                <w:rFonts w:ascii="Garamond" w:hAnsi="Garamond"/>
                <w:sz w:val="20"/>
                <w:szCs w:val="20"/>
              </w:rPr>
              <w:t>Vous pouvez personnaliser les faces ou le dos des cartes selon les préférences de votre propre organisation.</w:t>
            </w:r>
          </w:p>
          <w:p w14:paraId="7318D1D0" w14:textId="460E1644" w:rsidR="00C4352E" w:rsidRPr="00074EF2" w:rsidRDefault="005870A4" w:rsidP="00C4352E">
            <w:pPr>
              <w:pStyle w:val="C-Head-Middle"/>
            </w:pPr>
            <w:r>
              <w:t>Personnalisation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 xml:space="preserve">Après avoir joué quelques parties de Cornucopia, vous pourriez penser que certaines cartes sont moins pertinentes pour vos applications, ou que les menaces sont différentes pour votre organisation. </w:t>
            </w:r>
            <w:r w:rsidR="00DB35C6">
              <w:rPr>
                <w:rFonts w:ascii="Garamond" w:hAnsi="Garamond"/>
                <w:sz w:val="20"/>
                <w:szCs w:val="20"/>
              </w:rPr>
              <w:t xml:space="preserve"> </w:t>
            </w:r>
            <w:r w:rsidR="00C4352E">
              <w:rPr>
                <w:rFonts w:ascii="Garamond" w:hAnsi="Garamond"/>
                <w:sz w:val="20"/>
                <w:szCs w:val="20"/>
              </w:rPr>
              <w:t>Editez vous-même ce document pour ajuster le contenu des cartes à vos équipes, ou créez de nouveaux jeux entiers.</w:t>
            </w:r>
          </w:p>
          <w:p w14:paraId="6C6A975F" w14:textId="78478BA2" w:rsidR="00C4352E" w:rsidRPr="00074EF2" w:rsidRDefault="005870A4" w:rsidP="00C4352E">
            <w:pPr>
              <w:pStyle w:val="C-Head-Middle"/>
            </w:pPr>
            <w:r>
              <w:t>Faites un retour</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w:t>
            </w:r>
            <w:r w:rsidR="005870A4">
              <w:rPr>
                <w:rFonts w:ascii="Garamond" w:hAnsi="Garamond"/>
                <w:sz w:val="20"/>
                <w:szCs w:val="20"/>
              </w:rPr>
              <w:t xml:space="preserve">Mieux encore, si vous créez de nouvelles versions des cartes, ou des versions professionnelles imprimables, merci de les partager avec les volontaires qui ont créé cette édition, ainsi que la communauté de la sécurité et du développement d’applications. </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Le meilleur moyen de contribution et de discussion est la liste de diffusion du projet OWASP :</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 Liste de diffusion</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 Page d’accueil du projet</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Tous les documents et outils OWASP sont libres de téléchargement et d’utilisation.  </w:t>
            </w:r>
            <w:r w:rsidR="005870A4">
              <w:rPr>
                <w:rFonts w:ascii="Garamond" w:hAnsi="Garamond"/>
                <w:sz w:val="20"/>
                <w:szCs w:val="20"/>
              </w:rPr>
              <w:t>OWASP Cornucopia est publié sous une licence Creative Commons Attribution-ShareAlike 3.0 .</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Instructions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William a le contrôle sur la génération des identifiants de session.</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Exigences dans “Secure Coding Practices (SCP) - Quick Reference Guide”, v2, OWASP, novembre 2010</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de points de détection d’attaque dans “AppSensor”, OWASP, août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Règles alternatives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Certaines équipes ont préféré jouer un tour complet sans interruption, puis seulement après, échanger sur les contenus des cartes jouées (au lieu de le faire après chaque carte).</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Vous pouvez même jouer tout seul.  Utilisez les cartes comme point de départ à des raisonnements. Il est néanmoins avantageux d’impliquer des personnes supplémentaires.</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L’EoP Microsoft recommande la tricherie en tant que stratégie de jeu.</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Jeux de cartes spécifiques aux frameworks de développement</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1825BC44" w14:textId="77777777" w:rsidR="00CC4731" w:rsidRDefault="00CC4731" w:rsidP="00CC4731">
            <w:pPr>
              <w:rPr>
                <w:rFonts w:ascii="Garamond" w:hAnsi="Garamond"/>
                <w:sz w:val="20"/>
                <w:szCs w:val="20"/>
              </w:rPr>
            </w:pPr>
            <w:r w:rsidRPr="00D6005F">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Foire aux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Envoyez des idées ou des offres d’aide à la liste de diffusion du projet.</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3. Comment ont été choisis les noms des attaquants?</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Pourquoi n’y a-t-il pas d’images sur les cartes?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Combien de temps faut-il pour jouer une main en utilisant le jeu complet?</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Quels profils de joueurs peuvent participer?</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Qui doit prendre des notes et noter les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A - Préparations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A1.</w:t>
              <w:tab/>
              <w:t>Procurez-vous un jeu, ou imprimez votre propre jeu de cartes Cornucopia (voir page 2 de ce document), et séparez/découpez les cartes.</w:t>
            </w:r>
            <w:r>
              <w:rPr>
                <w:b w:val="0"/>
                <w:bCs/>
                <w:sz w:val="20"/>
                <w:szCs w:val="20"/>
              </w:rPr>
              <w:t xml:space="preserve">                                                                   A2.</w:t>
              <w:tab/>
              <w:t xml:space="preserve">Identifiez une application ou processus à évaluer, cela peut être un concept, une spécification ou une véritable implémentation </w:t>
            </w:r>
            <w:r w:rsidR="00E6533E">
              <w:rPr>
                <w:b w:val="0"/>
                <w:bCs/>
                <w:sz w:val="20"/>
                <w:szCs w:val="20"/>
              </w:rPr>
              <w:br/>
            </w:r>
            <w:r>
              <w:rPr>
                <w:b w:val="0"/>
                <w:bCs/>
                <w:sz w:val="20"/>
                <w:szCs w:val="20"/>
              </w:rPr>
              <w:t>A3.</w:t>
              <w:tab/>
              <w:t>Créez un diagramme de flux de données, des cas d’utilisation, ou d’autres supports pour aider à l’évaluation.                                                                     A4.</w:t>
              <w:tab/>
              <w:t xml:space="preserve">Identifiez et invitez un groupe de 3-6 architectes, développeurs, testeurs et autres participants métier ensemble et asseyez-vous autour d’une table (essayez d’inclure un profil sensibilisé à la sécurité applicative).                                                                    </w:t>
            </w:r>
            <w:r w:rsidR="00A518EA">
              <w:rPr>
                <w:b w:val="0"/>
                <w:bCs/>
                <w:sz w:val="20"/>
                <w:szCs w:val="20"/>
              </w:rPr>
              <w:t xml:space="preserve">    </w:t>
            </w:r>
            <w:r w:rsidR="00D20727">
              <w:rPr>
                <w:b w:val="0"/>
                <w:bCs/>
                <w:sz w:val="20"/>
                <w:szCs w:val="20"/>
              </w:rPr>
              <w:t xml:space="preserve">                              A5.</w:t>
              <w:tab/>
              <w:t>Prévoyez une distribution de prix (étoiles, pizza, bière ou fleurs en fonction de la culture d’entreprise).</w:t>
            </w:r>
            <w:r>
              <w:rPr>
                <w:b w:val="0"/>
                <w:bCs/>
                <w:sz w:val="20"/>
                <w:szCs w:val="20"/>
              </w:rPr>
              <w:t xml:space="preserve">                                                                                                                                                                                                            </w:t>
            </w:r>
          </w:p>
          <w:p w14:paraId="448FBABA" w14:textId="6D3497EA" w:rsidR="00FD387E" w:rsidRDefault="002420FA" w:rsidP="009D3431">
            <w:pPr>
              <w:pStyle w:val="C-Head-Middle"/>
            </w:pPr>
            <w:r>
              <w:t>B - Jouer</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Une couleur – Cornucopia – fait office d’atouts.  Les As sont les plus forts (battent les Rois).  Le fait d’avoir un participant non-joueur facilite le relevé des questions et des scores.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br/>
              <w:t>B6.</w:t>
              <w:tab/>
              <w:t>Le joueur qui gagne la main, commence au tour suivant, donnant une couleur à suivre.                                                                                                      B7.</w:t>
              <w:tab/>
              <w:t xml:space="preserve">Continuez jusqu’à ce que toutes les cartes soient jouées.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Scores</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L’objectif est d’identifier des menaces applicables, et de gagner des mains (des tours):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w:t>
              <w:tab/>
              <w:t>+1 point à chaque carte jouée pour laquelle le groupe s’accorde à dire qu’il s’agit d’une menace applicable.</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w:t>
              <w:tab/>
              <w:t>+1 point si vous gagnez une main.                                                                                                      C3.</w:t>
              <w:tab/>
              <w:t>Lorsque toutes les cartes sont jouées, le plus grand score remporte la partie.</w:t>
            </w:r>
            <w:r w:rsidR="008319F4">
              <w:rPr>
                <w:rFonts w:ascii="Garamond" w:hAnsi="Garamond"/>
                <w:sz w:val="20"/>
                <w:szCs w:val="20"/>
              </w:rPr>
              <w:t xml:space="preserve">                                                          </w:t>
            </w:r>
          </w:p>
          <w:p w14:paraId="22714DCF" w14:textId="5B2CC947" w:rsidR="00262D9D" w:rsidRPr="00074EF2" w:rsidRDefault="00A43F75" w:rsidP="009D3431">
            <w:pPr>
              <w:pStyle w:val="C-Head-Middle"/>
            </w:pPr>
            <w:r>
              <w:t>D - Clôture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w:t>
              <w:tab/>
              <w:t>Parcourez toutes les menaces applicables et les exigences de sécurité correspondantes.</w:t>
            </w:r>
            <w:r w:rsidR="000500BA">
              <w:rPr>
                <w:rFonts w:ascii="Garamond" w:hAnsi="Garamond"/>
                <w:sz w:val="20"/>
                <w:szCs w:val="20"/>
              </w:rPr>
              <w:t xml:space="preserve">                                                                      </w:t>
            </w:r>
            <w:r w:rsidRPr="00815976">
              <w:rPr>
                <w:rFonts w:ascii="Garamond" w:hAnsi="Garamond"/>
                <w:sz w:val="20"/>
                <w:szCs w:val="20"/>
              </w:rPr>
              <w:t>D2.</w:t>
              <w:tab/>
              <w:t>Créez des cas d’utilisation, des spécifications, et des jeux de tests en fonction de votre méthodologie de développement.</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Standards et librairies de code internes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Validation des données et encodage</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2CF9F91C" w14:textId="77777777" w:rsidR="00CC4731" w:rsidRPr="00F91ECC" w:rsidRDefault="00CC4731" w:rsidP="00CC4731">
                  <w:pPr>
                    <w:rPr>
                      <w:rFonts w:ascii="Garamond" w:hAnsi="Garamond"/>
                      <w:sz w:val="20"/>
                      <w:szCs w:val="20"/>
                    </w:rPr>
                  </w:pPr>
                  <w:r>
                    <w:rPr>
                      <w:rFonts w:ascii="Garamond" w:hAnsi="Garamond"/>
                      <w:sz w:val="20"/>
                      <w:szCs w:val="20"/>
                    </w:rPr>
                    <w:t>Authentification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[votre liste]</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Gestion des sessions</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29844A01" w14:textId="77777777" w:rsidR="00CC4731" w:rsidRPr="00F91ECC" w:rsidRDefault="00CC4731" w:rsidP="00CC4731">
                  <w:pPr>
                    <w:rPr>
                      <w:rFonts w:ascii="Garamond" w:hAnsi="Garamond"/>
                      <w:sz w:val="20"/>
                      <w:szCs w:val="20"/>
                    </w:rPr>
                  </w:pPr>
                  <w:r>
                    <w:rPr>
                      <w:rFonts w:ascii="Garamond" w:hAnsi="Garamond"/>
                      <w:sz w:val="20"/>
                      <w:szCs w:val="20"/>
                    </w:rPr>
                    <w:t>Habilitation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[votre liste]</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Cryptographie</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[votre liste]</w:t>
                  </w:r>
                </w:p>
              </w:tc>
            </w:tr>
          </w:tbl>
          <w:p w14:paraId="686E7CE6" w14:textId="2460F3EB" w:rsidR="00CC4731" w:rsidRPr="00CC4731" w:rsidRDefault="00CC4731" w:rsidP="00CC4731">
            <w:pPr>
              <w:pStyle w:val="C-Head-Middle"/>
            </w:pPr>
            <w:r w:rsidRPr="00CC4731">
              <w:t>Jeux d’exigences de conformité</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Validation des données et encodage</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7FF58F6D" w14:textId="77777777" w:rsidR="00CC4731" w:rsidRDefault="00CC4731" w:rsidP="00CC4731">
                  <w:pPr>
                    <w:rPr>
                      <w:rFonts w:ascii="Garamond" w:hAnsi="Garamond"/>
                      <w:sz w:val="20"/>
                      <w:szCs w:val="20"/>
                    </w:rPr>
                  </w:pPr>
                  <w:r>
                    <w:rPr>
                      <w:rFonts w:ascii="Garamond" w:hAnsi="Garamond"/>
                      <w:sz w:val="20"/>
                      <w:szCs w:val="20"/>
                    </w:rPr>
                    <w:t>Authentification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Gestion des sessions</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22023159" w14:textId="77777777" w:rsidR="00CC4731" w:rsidRDefault="00CC4731" w:rsidP="00CC4731">
                  <w:pPr>
                    <w:rPr>
                      <w:rFonts w:ascii="Garamond" w:hAnsi="Garamond"/>
                      <w:sz w:val="20"/>
                      <w:szCs w:val="20"/>
                    </w:rPr>
                  </w:pPr>
                  <w:r>
                    <w:rPr>
                      <w:rFonts w:ascii="Garamond" w:hAnsi="Garamond"/>
                      <w:sz w:val="20"/>
                      <w:szCs w:val="20"/>
                    </w:rPr>
                    <w:t>Habilitation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Cryptographie</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Doit-on toujours utiliser un jeu complet de cartes?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(Pas de Carte)</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Draft original.</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revu et mis à jour.</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annoncé à la liste de diffusion de l’OWASP SCP pour commentaire.</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Version initiale.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Modifications mineures du texte des cartes pour améliorer la lisibilité.</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1.2 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Contributeurs du projet</w:t>
            </w:r>
            <w:r w:rsidR="00E41813"/>
            <w:r w:rsidR="00827736"/>
            <w:r w:rsidR="00E41813"/>
          </w:p>
          <w:p w14:paraId="4D569CC4" w14:textId="6DFEA820" w:rsidR="00E41813" w:rsidRDefault="00E41813" w:rsidP="00AA194A">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Sans tous leurs efforts, le projet n’aurait pas progressé jusqu’à ce point.</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Veuillez contacter la liste de diffusion ou les chefs du projet directement, s’il manque quelqu’un dans les listes ci-dessous.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•Les employés de l’OWASP travaillant dur, en particulier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17B258D9" w14:textId="1EAFBA0E" w:rsidR="00E41813" w:rsidRDefault="00E41813" w:rsidP="00E41813">
            <w:pPr>
              <w:pStyle w:val="C-Head-Top"/>
              <w:numPr>
                <w:ilvl w:val="0"/>
                <w:numId w:val="19"/>
              </w:numPr>
              <w:rPr>
                <w:b w:val="0"/>
                <w:sz w:val="20"/>
                <w:szCs w:val="20"/>
              </w:rPr>
            </w:pPr>
            <w:r>
              <w:rPr>
                <w:b w:val="0"/>
                <w:sz w:val="20"/>
                <w:szCs w:val="20"/>
              </w:rPr>
              <w:t>•OWASP NYC pour la création d’un design de boîte OWASP et la distribution de packs à AppSec USA 2014.</w:t>
            </w:r>
          </w:p>
          <w:p w14:paraId="690BD1FB" w14:textId="4C61EBE2" w:rsidR="00377162" w:rsidRPr="00012F19" w:rsidRDefault="00E41813" w:rsidP="00D636D7">
            <w:pPr>
              <w:pStyle w:val="C-Head-Middle"/>
            </w:pPr>
            <w:r>
              <w:t>Podcasts et vidéos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Les ressources suivantes de l’OWASP Cornucopia sont disponibles en ligne:</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Vidéo - Using the cards, créée lors du sommet AppSec EU 2015 project, 20 mai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Interview Podcast, OWASP 24/7 Podcast channel, 21 mars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Vidéo de présentation, lors de l’OWASP EU Tour 2013 London, 3 juin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Visitez le site web du projet pour de plus amples informations et des documents de présentation.</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