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D6" w:rsidRPr="00FC7E8D" w:rsidRDefault="004C7AD6" w:rsidP="004C7AD6">
      <w:pPr>
        <w:spacing w:after="120"/>
      </w:pPr>
      <w:r w:rsidRPr="00FC7E8D">
        <w:t>Problem set #</w:t>
      </w:r>
      <w:r>
        <w:t>5</w:t>
      </w:r>
      <w:r w:rsidRPr="00FC7E8D">
        <w:tab/>
      </w:r>
      <w:r w:rsidRPr="00FC7E8D">
        <w:tab/>
      </w:r>
      <w:r w:rsidRPr="00FC7E8D">
        <w:tab/>
      </w:r>
      <w:r w:rsidRPr="00FC7E8D">
        <w:tab/>
      </w:r>
      <w:r w:rsidRPr="00FC7E8D">
        <w:tab/>
      </w:r>
      <w:r w:rsidRPr="00FC7E8D">
        <w:tab/>
      </w:r>
      <w:r w:rsidRPr="00FC7E8D">
        <w:tab/>
      </w:r>
      <w:r w:rsidRPr="00FC7E8D">
        <w:tab/>
      </w:r>
      <w:r>
        <w:tab/>
      </w:r>
      <w:proofErr w:type="gramStart"/>
      <w:r w:rsidR="003F5817">
        <w:t>Fall</w:t>
      </w:r>
      <w:proofErr w:type="gramEnd"/>
      <w:r w:rsidR="003F5817">
        <w:t xml:space="preserve"> 2014</w:t>
      </w:r>
    </w:p>
    <w:p w:rsidR="004C7AD6" w:rsidRDefault="004C7AD6" w:rsidP="004C7AD6">
      <w:pPr>
        <w:spacing w:after="60"/>
        <w:jc w:val="center"/>
        <w:rPr>
          <w:b/>
        </w:rPr>
      </w:pPr>
      <w:r>
        <w:rPr>
          <w:b/>
        </w:rPr>
        <w:t>GEOL1370: Environmental Geochemistry</w:t>
      </w:r>
    </w:p>
    <w:p w:rsidR="004C7AD6" w:rsidRDefault="0017288C" w:rsidP="004C7AD6">
      <w:pPr>
        <w:spacing w:after="60"/>
        <w:jc w:val="center"/>
        <w:rPr>
          <w:b/>
        </w:rPr>
      </w:pPr>
      <w:r>
        <w:rPr>
          <w:b/>
        </w:rPr>
        <w:t xml:space="preserve">Redox (Due </w:t>
      </w:r>
      <w:r w:rsidR="006D48D7">
        <w:rPr>
          <w:b/>
        </w:rPr>
        <w:t>Thurs</w:t>
      </w:r>
      <w:r w:rsidR="00154455">
        <w:rPr>
          <w:b/>
        </w:rPr>
        <w:t>day</w:t>
      </w:r>
      <w:r w:rsidR="004C7AD6">
        <w:rPr>
          <w:b/>
        </w:rPr>
        <w:t>, 10/2</w:t>
      </w:r>
      <w:r w:rsidR="006D48D7">
        <w:rPr>
          <w:b/>
        </w:rPr>
        <w:t>3</w:t>
      </w:r>
      <w:r w:rsidR="004C7AD6">
        <w:rPr>
          <w:b/>
        </w:rPr>
        <w:t>)</w:t>
      </w:r>
    </w:p>
    <w:p w:rsidR="00EF07F5" w:rsidRDefault="00EF07F5" w:rsidP="004C7AD6">
      <w:pPr>
        <w:spacing w:after="60"/>
        <w:jc w:val="center"/>
        <w:rPr>
          <w:b/>
          <w:color w:val="FF0000"/>
        </w:rPr>
      </w:pPr>
    </w:p>
    <w:p w:rsidR="0081743C" w:rsidRPr="0081743C" w:rsidRDefault="0081743C" w:rsidP="0081743C">
      <w:pPr>
        <w:spacing w:after="60"/>
        <w:ind w:left="360"/>
      </w:pPr>
    </w:p>
    <w:p w:rsidR="002C02CB" w:rsidRDefault="002C02CB" w:rsidP="002C02CB">
      <w:pPr>
        <w:numPr>
          <w:ilvl w:val="0"/>
          <w:numId w:val="10"/>
        </w:numPr>
        <w:spacing w:after="60"/>
      </w:pPr>
      <w:r w:rsidRPr="002C02CB">
        <w:rPr>
          <w:b/>
          <w:bCs/>
        </w:rPr>
        <w:t>Lead–acid batteries</w:t>
      </w:r>
      <w:r w:rsidRPr="002C02CB">
        <w:t xml:space="preserve">, invented in 1859 by French physicist Gaston </w:t>
      </w:r>
      <w:proofErr w:type="spellStart"/>
      <w:r w:rsidRPr="002C02CB">
        <w:t>Planté</w:t>
      </w:r>
      <w:proofErr w:type="spellEnd"/>
      <w:r w:rsidRPr="002C02CB">
        <w:t>, are the oldest type of rechargeable battery. Despite having a very low energy-to-weight ratio and a low energy-to-volume ratio, their ability to supply high surge currents means that the cells maintain a relatively large power-to-weight ratio. These features, along with their low cost, make them attractive for use in motor vehicles to provide the high current required by automobile starter motors.</w:t>
      </w:r>
      <w:r>
        <w:t xml:space="preserve"> The overall rea</w:t>
      </w:r>
      <w:bookmarkStart w:id="0" w:name="_GoBack"/>
      <w:bookmarkEnd w:id="0"/>
      <w:r>
        <w:t>ctions of leaf acid battery during discharge is: PbO</w:t>
      </w:r>
      <w:r w:rsidRPr="002C02CB">
        <w:rPr>
          <w:vertAlign w:val="subscript"/>
        </w:rPr>
        <w:t>2</w:t>
      </w:r>
      <w:r w:rsidR="0015729A">
        <w:t xml:space="preserve"> (s)</w:t>
      </w:r>
      <w:r>
        <w:t xml:space="preserve"> + 2H</w:t>
      </w:r>
      <w:r w:rsidRPr="002C02CB">
        <w:rPr>
          <w:vertAlign w:val="subscript"/>
        </w:rPr>
        <w:t>2</w:t>
      </w:r>
      <w:r>
        <w:t>SO</w:t>
      </w:r>
      <w:r w:rsidRPr="002C02CB">
        <w:rPr>
          <w:vertAlign w:val="subscript"/>
        </w:rPr>
        <w:t>4</w:t>
      </w:r>
      <w:r>
        <w:t xml:space="preserve"> + </w:t>
      </w:r>
      <w:proofErr w:type="spellStart"/>
      <w:r>
        <w:t>Pb</w:t>
      </w:r>
      <w:proofErr w:type="spellEnd"/>
      <w:r w:rsidR="0015729A">
        <w:t xml:space="preserve"> (s)</w:t>
      </w:r>
      <w:r>
        <w:t xml:space="preserve"> = 2PbSO</w:t>
      </w:r>
      <w:r w:rsidRPr="002C02CB">
        <w:rPr>
          <w:vertAlign w:val="subscript"/>
        </w:rPr>
        <w:t>4</w:t>
      </w:r>
      <w:r>
        <w:t xml:space="preserve"> </w:t>
      </w:r>
      <w:r w:rsidR="0015729A">
        <w:t xml:space="preserve">(s) </w:t>
      </w:r>
      <w:r>
        <w:t>+ 2 H</w:t>
      </w:r>
      <w:r w:rsidRPr="002C02CB">
        <w:rPr>
          <w:vertAlign w:val="subscript"/>
        </w:rPr>
        <w:t>2</w:t>
      </w:r>
      <w:r>
        <w:t>O</w:t>
      </w:r>
    </w:p>
    <w:p w:rsidR="002C02CB" w:rsidRDefault="002C02CB" w:rsidP="002C02CB">
      <w:pPr>
        <w:spacing w:after="60"/>
        <w:ind w:left="360"/>
      </w:pPr>
    </w:p>
    <w:p w:rsidR="0015729A" w:rsidRDefault="002C02CB" w:rsidP="0015729A">
      <w:pPr>
        <w:pStyle w:val="ListParagraph"/>
        <w:numPr>
          <w:ilvl w:val="0"/>
          <w:numId w:val="11"/>
        </w:numPr>
        <w:spacing w:after="60"/>
      </w:pPr>
      <w:r>
        <w:t>Separate this</w:t>
      </w:r>
      <w:r w:rsidR="004C7AD6">
        <w:t xml:space="preserve"> redox reactio</w:t>
      </w:r>
      <w:r>
        <w:t xml:space="preserve">n into two half-cell reactions, and specify the reduction half reaction and oxidation half reaction. </w:t>
      </w:r>
    </w:p>
    <w:p w:rsidR="0015729A" w:rsidRDefault="0015729A" w:rsidP="0015729A">
      <w:pPr>
        <w:pStyle w:val="ListParagraph"/>
        <w:spacing w:after="60"/>
      </w:pPr>
    </w:p>
    <w:p w:rsidR="0015729A" w:rsidRDefault="004C7AD6" w:rsidP="0015729A">
      <w:pPr>
        <w:pStyle w:val="ListParagraph"/>
        <w:numPr>
          <w:ilvl w:val="0"/>
          <w:numId w:val="11"/>
        </w:numPr>
        <w:spacing w:after="60"/>
      </w:pPr>
      <w:r>
        <w:t>Write out the Nern</w:t>
      </w:r>
      <w:r w:rsidR="002C02CB">
        <w:t>st Equation</w:t>
      </w:r>
      <w:r w:rsidR="00227429">
        <w:t>s</w:t>
      </w:r>
      <w:r w:rsidR="002C02CB">
        <w:t xml:space="preserve"> describing the half-</w:t>
      </w:r>
      <w:r>
        <w:t>cell potential</w:t>
      </w:r>
      <w:r w:rsidR="002C02CB">
        <w:t>s</w:t>
      </w:r>
      <w:r>
        <w:t xml:space="preserve"> of both the oxidation and reduction half reactions</w:t>
      </w:r>
      <w:r w:rsidR="0015729A">
        <w:t>, respectively</w:t>
      </w:r>
      <w:r>
        <w:t xml:space="preserve">. </w:t>
      </w:r>
    </w:p>
    <w:p w:rsidR="0015729A" w:rsidRDefault="0015729A" w:rsidP="0015729A">
      <w:pPr>
        <w:pStyle w:val="ListParagraph"/>
      </w:pPr>
    </w:p>
    <w:p w:rsidR="0015729A" w:rsidRDefault="0015729A" w:rsidP="0015729A">
      <w:pPr>
        <w:pStyle w:val="ListParagraph"/>
        <w:numPr>
          <w:ilvl w:val="0"/>
          <w:numId w:val="11"/>
        </w:numPr>
        <w:spacing w:after="60"/>
      </w:pPr>
      <w:r>
        <w:t xml:space="preserve">Subtracting the anode cell potential from cathode cell potential gives the overall potential of the battery. The standard cell potential for cathode is </w:t>
      </w:r>
      <w:proofErr w:type="spellStart"/>
      <w:proofErr w:type="gramStart"/>
      <w:r>
        <w:t>E</w:t>
      </w:r>
      <w:r w:rsidRPr="0015729A">
        <w:rPr>
          <w:vertAlign w:val="superscript"/>
        </w:rPr>
        <w:t>o</w:t>
      </w:r>
      <w:proofErr w:type="spellEnd"/>
      <w:proofErr w:type="gramEnd"/>
      <w:r>
        <w:t xml:space="preserve"> = 1.685 V, and for anode is </w:t>
      </w:r>
      <w:proofErr w:type="spellStart"/>
      <w:r>
        <w:t>E</w:t>
      </w:r>
      <w:r w:rsidRPr="0015729A">
        <w:rPr>
          <w:vertAlign w:val="superscript"/>
        </w:rPr>
        <w:t>o</w:t>
      </w:r>
      <w:proofErr w:type="spellEnd"/>
      <w:r>
        <w:t xml:space="preserve"> = -0.356 V. What is the overall standard voltage for an acid lead battery? </w:t>
      </w:r>
      <w:r w:rsidR="00227429">
        <w:t>Based on the Nernst equation, how do pH values affect the overall battery potential</w:t>
      </w:r>
      <w:r w:rsidR="0038563F">
        <w:t>? – explain the necessity of sulfuric acid for this battery.</w:t>
      </w:r>
      <w:r w:rsidR="00227429">
        <w:t xml:space="preserve"> </w:t>
      </w:r>
    </w:p>
    <w:p w:rsidR="0015729A" w:rsidRDefault="0015729A" w:rsidP="002C02CB">
      <w:pPr>
        <w:spacing w:after="60"/>
        <w:ind w:left="360"/>
      </w:pPr>
    </w:p>
    <w:p w:rsidR="004C7AD6" w:rsidRDefault="004C7AD6" w:rsidP="004C7AD6">
      <w:pPr>
        <w:numPr>
          <w:ilvl w:val="0"/>
          <w:numId w:val="10"/>
        </w:numPr>
        <w:spacing w:after="120"/>
      </w:pPr>
      <w:r>
        <w:t>Water samples are collected from a monitor well located just down gradient from an unlined municipal landfill. The ground water temperature is 25</w:t>
      </w:r>
      <w:r w:rsidRPr="00857F87">
        <w:rPr>
          <w:vertAlign w:val="superscript"/>
        </w:rPr>
        <w:t>o</w:t>
      </w:r>
      <w:r>
        <w:t>C and the pH is 7.5. The concentration of H</w:t>
      </w:r>
      <w:r w:rsidRPr="00857F87">
        <w:rPr>
          <w:vertAlign w:val="subscript"/>
        </w:rPr>
        <w:t>2</w:t>
      </w:r>
      <w:r>
        <w:t>S is 10</w:t>
      </w:r>
      <w:r w:rsidRPr="00857F87">
        <w:rPr>
          <w:vertAlign w:val="superscript"/>
        </w:rPr>
        <w:t>-4.15</w:t>
      </w:r>
      <w:r>
        <w:t xml:space="preserve"> m, and the concentration of sulfate ion (SO</w:t>
      </w:r>
      <w:r w:rsidRPr="00857F87">
        <w:rPr>
          <w:vertAlign w:val="subscript"/>
        </w:rPr>
        <w:t>4</w:t>
      </w:r>
      <w:r w:rsidRPr="00857F87">
        <w:rPr>
          <w:vertAlign w:val="superscript"/>
        </w:rPr>
        <w:t>2-</w:t>
      </w:r>
      <w:r>
        <w:t>) is 10</w:t>
      </w:r>
      <w:r w:rsidRPr="00857F87">
        <w:rPr>
          <w:vertAlign w:val="superscript"/>
        </w:rPr>
        <w:t>-5</w:t>
      </w:r>
      <w:r>
        <w:t xml:space="preserve"> m. The redox </w:t>
      </w:r>
      <w:proofErr w:type="spellStart"/>
      <w:r>
        <w:t>half cell</w:t>
      </w:r>
      <w:proofErr w:type="spellEnd"/>
      <w:r>
        <w:t xml:space="preserve"> reaction for the sulfate reduction is: SO</w:t>
      </w:r>
      <w:r w:rsidRPr="00857F87">
        <w:rPr>
          <w:vertAlign w:val="subscript"/>
        </w:rPr>
        <w:t>4</w:t>
      </w:r>
      <w:r w:rsidRPr="00857F87">
        <w:rPr>
          <w:vertAlign w:val="superscript"/>
        </w:rPr>
        <w:t>2-</w:t>
      </w:r>
      <w:r>
        <w:t xml:space="preserve"> +8e</w:t>
      </w:r>
      <w:r w:rsidRPr="00857F87">
        <w:rPr>
          <w:vertAlign w:val="superscript"/>
        </w:rPr>
        <w:t>-</w:t>
      </w:r>
      <w:r>
        <w:t xml:space="preserve"> +10H</w:t>
      </w:r>
      <w:r w:rsidRPr="00857F87">
        <w:rPr>
          <w:vertAlign w:val="superscript"/>
        </w:rPr>
        <w:t>+</w:t>
      </w:r>
      <w:r>
        <w:t xml:space="preserve"> ↔ H</w:t>
      </w:r>
      <w:r w:rsidRPr="00857F87">
        <w:rPr>
          <w:vertAlign w:val="subscript"/>
        </w:rPr>
        <w:t>2</w:t>
      </w:r>
      <w:r>
        <w:t>S + 4H</w:t>
      </w:r>
      <w:r w:rsidRPr="00857F87">
        <w:rPr>
          <w:vertAlign w:val="subscript"/>
        </w:rPr>
        <w:t>2</w:t>
      </w:r>
      <w:r>
        <w:t xml:space="preserve">O. The standard electrode potential </w:t>
      </w:r>
      <w:proofErr w:type="spellStart"/>
      <w:proofErr w:type="gramStart"/>
      <w:r>
        <w:t>E</w:t>
      </w:r>
      <w:r w:rsidRPr="00857F87">
        <w:rPr>
          <w:vertAlign w:val="superscript"/>
        </w:rPr>
        <w:t>o</w:t>
      </w:r>
      <w:proofErr w:type="spellEnd"/>
      <w:proofErr w:type="gramEnd"/>
      <w:r>
        <w:t xml:space="preserve"> for this </w:t>
      </w:r>
      <w:proofErr w:type="spellStart"/>
      <w:r>
        <w:t>half cell</w:t>
      </w:r>
      <w:proofErr w:type="spellEnd"/>
      <w:r>
        <w:t xml:space="preserve"> is 0.3 V. Using the Nernst equation, calculate the Eh of the water. Eh&lt;0 is considered anoxic groundwater that is likely contaminated by plume from landfill. Is this groundwater contaminated?</w:t>
      </w:r>
    </w:p>
    <w:p w:rsidR="009501C2" w:rsidRDefault="009501C2" w:rsidP="009501C2">
      <w:pPr>
        <w:spacing w:after="120"/>
        <w:ind w:left="360"/>
      </w:pPr>
    </w:p>
    <w:p w:rsidR="004C7AD6" w:rsidRDefault="004C7AD6" w:rsidP="004C7AD6">
      <w:pPr>
        <w:numPr>
          <w:ilvl w:val="0"/>
          <w:numId w:val="10"/>
        </w:numPr>
        <w:spacing w:after="120"/>
      </w:pPr>
      <w:r>
        <w:t xml:space="preserve">(a) Write out the </w:t>
      </w:r>
      <w:proofErr w:type="spellStart"/>
      <w:r>
        <w:t>half cell</w:t>
      </w:r>
      <w:proofErr w:type="spellEnd"/>
      <w:r>
        <w:t xml:space="preserve"> redox reaction for the oxidation of water to O</w:t>
      </w:r>
      <w:r w:rsidRPr="00477F11">
        <w:rPr>
          <w:vertAlign w:val="subscript"/>
        </w:rPr>
        <w:t>2</w:t>
      </w:r>
      <w:r>
        <w:t>.</w:t>
      </w:r>
    </w:p>
    <w:p w:rsidR="004C7AD6" w:rsidRDefault="004C7AD6" w:rsidP="004C7AD6">
      <w:pPr>
        <w:spacing w:after="120"/>
        <w:ind w:left="360"/>
      </w:pPr>
      <w:r>
        <w:t>(b) Assuming that the partial pressure of oxygen in water is that of actual atmospheric O</w:t>
      </w:r>
      <w:r>
        <w:rPr>
          <w:vertAlign w:val="subscript"/>
        </w:rPr>
        <w:t>2</w:t>
      </w:r>
      <w:r>
        <w:t xml:space="preserve">, 0.21 </w:t>
      </w:r>
      <w:proofErr w:type="spellStart"/>
      <w:r>
        <w:t>atm</w:t>
      </w:r>
      <w:proofErr w:type="spellEnd"/>
      <w:r>
        <w:t xml:space="preserve">, rather than 1.00 </w:t>
      </w:r>
      <w:proofErr w:type="spellStart"/>
      <w:r>
        <w:t>atm</w:t>
      </w:r>
      <w:proofErr w:type="spellEnd"/>
      <w:r>
        <w:t xml:space="preserve"> that we used in the class example, derive an equation describing the oxidizing </w:t>
      </w:r>
      <w:proofErr w:type="spellStart"/>
      <w:r>
        <w:t>pE</w:t>
      </w:r>
      <w:proofErr w:type="spellEnd"/>
      <w:r>
        <w:t xml:space="preserve"> limit of water as a function of </w:t>
      </w:r>
      <w:proofErr w:type="spellStart"/>
      <w:r>
        <w:t>pH.</w:t>
      </w:r>
      <w:proofErr w:type="spellEnd"/>
      <w:r>
        <w:t xml:space="preserve"> How much difference did it make?</w:t>
      </w:r>
    </w:p>
    <w:p w:rsidR="004C7AD6" w:rsidRDefault="004C7AD6" w:rsidP="004C7AD6">
      <w:pPr>
        <w:spacing w:after="120"/>
        <w:ind w:left="360"/>
      </w:pPr>
      <w:r>
        <w:t xml:space="preserve">(c) For the half cell reaction: </w:t>
      </w:r>
      <w:r w:rsidRPr="003C4E8B">
        <w:t>Fe(OH)</w:t>
      </w:r>
      <w:r w:rsidRPr="003C4E8B">
        <w:rPr>
          <w:vertAlign w:val="subscript"/>
        </w:rPr>
        <w:t>3</w:t>
      </w:r>
      <w:r w:rsidRPr="003C4E8B">
        <w:t xml:space="preserve"> + 3H</w:t>
      </w:r>
      <w:r w:rsidRPr="003C4E8B">
        <w:rPr>
          <w:vertAlign w:val="superscript"/>
        </w:rPr>
        <w:t>+</w:t>
      </w:r>
      <w:r w:rsidRPr="003C4E8B">
        <w:t xml:space="preserve"> +e</w:t>
      </w:r>
      <w:r w:rsidRPr="003C4E8B">
        <w:rPr>
          <w:vertAlign w:val="superscript"/>
        </w:rPr>
        <w:t>-</w:t>
      </w:r>
      <w:r w:rsidRPr="003C4E8B">
        <w:t xml:space="preserve"> </w:t>
      </w:r>
      <w:r w:rsidRPr="003C4E8B">
        <w:rPr>
          <w:rFonts w:hint="eastAsia"/>
        </w:rPr>
        <w:sym w:font="Wingdings" w:char="00E0"/>
      </w:r>
      <w:r w:rsidRPr="003C4E8B">
        <w:t>Fe</w:t>
      </w:r>
      <w:r w:rsidRPr="003C4E8B">
        <w:rPr>
          <w:vertAlign w:val="superscript"/>
        </w:rPr>
        <w:t xml:space="preserve">2+ </w:t>
      </w:r>
      <w:r w:rsidRPr="003C4E8B">
        <w:t>+ 3H</w:t>
      </w:r>
      <w:r w:rsidRPr="003C4E8B">
        <w:rPr>
          <w:vertAlign w:val="subscript"/>
        </w:rPr>
        <w:t>2</w:t>
      </w:r>
      <w:r w:rsidRPr="003C4E8B">
        <w:t>O</w:t>
      </w:r>
      <w:r>
        <w:t xml:space="preserve">, derive the boundaries between </w:t>
      </w:r>
      <w:r w:rsidRPr="003C4E8B">
        <w:t>Fe(OH)</w:t>
      </w:r>
      <w:r w:rsidRPr="003C4E8B">
        <w:rPr>
          <w:vertAlign w:val="subscript"/>
        </w:rPr>
        <w:t>3</w:t>
      </w:r>
      <w:r>
        <w:t xml:space="preserve"> and </w:t>
      </w:r>
      <w:r w:rsidRPr="003C4E8B">
        <w:t>Fe</w:t>
      </w:r>
      <w:r w:rsidRPr="003C4E8B">
        <w:rPr>
          <w:vertAlign w:val="superscript"/>
        </w:rPr>
        <w:t xml:space="preserve">2+ </w:t>
      </w:r>
      <w:r>
        <w:t xml:space="preserve">by assuming </w:t>
      </w:r>
      <w:r w:rsidRPr="003C4E8B">
        <w:t>[Fe</w:t>
      </w:r>
      <w:r w:rsidRPr="003C4E8B">
        <w:rPr>
          <w:vertAlign w:val="superscript"/>
        </w:rPr>
        <w:t>2+</w:t>
      </w:r>
      <w:r w:rsidRPr="003C4E8B">
        <w:t xml:space="preserve">] = </w:t>
      </w:r>
      <w:r>
        <w:t>10</w:t>
      </w:r>
      <w:r w:rsidRPr="00220C59">
        <w:rPr>
          <w:vertAlign w:val="superscript"/>
        </w:rPr>
        <w:t>-6</w:t>
      </w:r>
      <w:r>
        <w:t xml:space="preserve"> and </w:t>
      </w:r>
      <w:r w:rsidRPr="003C4E8B">
        <w:t>10</w:t>
      </w:r>
      <w:r w:rsidRPr="003C4E8B">
        <w:rPr>
          <w:vertAlign w:val="superscript"/>
        </w:rPr>
        <w:t>-8</w:t>
      </w:r>
      <w:r>
        <w:rPr>
          <w:vertAlign w:val="superscript"/>
        </w:rPr>
        <w:t xml:space="preserve"> </w:t>
      </w:r>
      <w:r>
        <w:t xml:space="preserve">m, respectively. How much difference for the boundaries did you see between </w:t>
      </w:r>
      <w:r w:rsidRPr="003C4E8B">
        <w:t>[Fe</w:t>
      </w:r>
      <w:r w:rsidRPr="003C4E8B">
        <w:rPr>
          <w:vertAlign w:val="superscript"/>
        </w:rPr>
        <w:t>2+</w:t>
      </w:r>
      <w:r w:rsidRPr="003C4E8B">
        <w:t xml:space="preserve">] = </w:t>
      </w:r>
      <w:r>
        <w:t>10</w:t>
      </w:r>
      <w:r w:rsidRPr="00220C59">
        <w:rPr>
          <w:vertAlign w:val="superscript"/>
        </w:rPr>
        <w:t>-6</w:t>
      </w:r>
      <w:r>
        <w:t xml:space="preserve"> and </w:t>
      </w:r>
      <w:r w:rsidRPr="003C4E8B">
        <w:t>10</w:t>
      </w:r>
      <w:r w:rsidRPr="003C4E8B">
        <w:rPr>
          <w:vertAlign w:val="superscript"/>
        </w:rPr>
        <w:t>-8</w:t>
      </w:r>
      <w:r>
        <w:rPr>
          <w:vertAlign w:val="superscript"/>
        </w:rPr>
        <w:t xml:space="preserve"> </w:t>
      </w:r>
      <w:r>
        <w:t>m.</w:t>
      </w:r>
    </w:p>
    <w:p w:rsidR="004C7AD6" w:rsidRDefault="007349A9" w:rsidP="004C7AD6">
      <w:pPr>
        <w:spacing w:after="120"/>
        <w:ind w:left="360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41275</wp:posOffset>
            </wp:positionV>
            <wp:extent cx="2493010" cy="2059305"/>
            <wp:effectExtent l="19050" t="0" r="2540" b="0"/>
            <wp:wrapSquare wrapText="bothSides"/>
            <wp:docPr id="19" name="Picture 2" descr="p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b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7AD6">
        <w:t xml:space="preserve">To save your time in this problem, you should follow the examples and use the same </w:t>
      </w:r>
      <w:r w:rsidR="004C7AD6" w:rsidRPr="003C4E8B">
        <w:rPr>
          <w:rFonts w:ascii="Symbol" w:hAnsi="Symbol"/>
        </w:rPr>
        <w:t></w:t>
      </w:r>
      <w:proofErr w:type="spellStart"/>
      <w:r w:rsidR="004C7AD6">
        <w:t>G</w:t>
      </w:r>
      <w:r w:rsidR="004C7AD6" w:rsidRPr="003C4E8B">
        <w:rPr>
          <w:vertAlign w:val="subscript"/>
        </w:rPr>
        <w:t>f</w:t>
      </w:r>
      <w:r w:rsidR="004C7AD6" w:rsidRPr="003C4E8B">
        <w:rPr>
          <w:vertAlign w:val="superscript"/>
        </w:rPr>
        <w:t>o</w:t>
      </w:r>
      <w:proofErr w:type="spellEnd"/>
      <w:r w:rsidR="004C7AD6">
        <w:t xml:space="preserve"> values in your handout. </w:t>
      </w:r>
    </w:p>
    <w:p w:rsidR="0017288C" w:rsidRPr="003C4E8B" w:rsidRDefault="0017288C" w:rsidP="004C7AD6">
      <w:pPr>
        <w:spacing w:after="120"/>
        <w:ind w:left="360"/>
      </w:pPr>
    </w:p>
    <w:p w:rsidR="004C7AD6" w:rsidRDefault="004C7AD6" w:rsidP="004C7AD6">
      <w:pPr>
        <w:spacing w:after="120"/>
        <w:ind w:left="360" w:hanging="360"/>
      </w:pPr>
      <w:r>
        <w:t>4.   The diagram to the right illustrates some oxidation/reduction chemistry of lead.</w:t>
      </w:r>
    </w:p>
    <w:p w:rsidR="004C7AD6" w:rsidRDefault="004C7AD6" w:rsidP="004C7AD6">
      <w:pPr>
        <w:spacing w:after="120"/>
        <w:ind w:left="360"/>
      </w:pPr>
      <w:r>
        <w:t>Estimate the pH and redox conditions in the following types of water by drawing circles on the pH-Eh diagram to indicate the approximate positions: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>Surface ocean water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>Normal stream water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>Aerobic acidic mine drainage waters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>Anaerobic saline lake water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>Water logged soil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>Surface water of a New England lake that has been severely affected by acid rain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 xml:space="preserve">For each of these water types identify the most stable lead species. </w:t>
      </w:r>
    </w:p>
    <w:p w:rsidR="004C7AD6" w:rsidRDefault="004C7AD6" w:rsidP="004C7AD6">
      <w:pPr>
        <w:numPr>
          <w:ilvl w:val="1"/>
          <w:numId w:val="10"/>
        </w:numPr>
        <w:ind w:left="720"/>
      </w:pPr>
      <w:r>
        <w:t xml:space="preserve">What pH range of the natural waters will most likely mobilize </w:t>
      </w:r>
      <w:proofErr w:type="spellStart"/>
      <w:r>
        <w:t>Pb</w:t>
      </w:r>
      <w:proofErr w:type="spellEnd"/>
      <w:r>
        <w:t xml:space="preserve"> according to the stability field diagram?</w:t>
      </w:r>
    </w:p>
    <w:p w:rsidR="0017288C" w:rsidRDefault="0017288C" w:rsidP="00954FE6">
      <w:pPr>
        <w:spacing w:after="120"/>
      </w:pPr>
    </w:p>
    <w:p w:rsidR="00954FE6" w:rsidRDefault="004C7AD6" w:rsidP="00954FE6">
      <w:pPr>
        <w:spacing w:after="120"/>
      </w:pPr>
      <w:r>
        <w:t xml:space="preserve">5. </w:t>
      </w:r>
      <w:r w:rsidR="005F1EAB">
        <w:tab/>
      </w:r>
      <w:r>
        <w:t>(</w:t>
      </w:r>
      <w:proofErr w:type="gramStart"/>
      <w:r>
        <w:t>a</w:t>
      </w:r>
      <w:proofErr w:type="gramEnd"/>
      <w:r>
        <w:t xml:space="preserve">). What are terminal electronic acceptors? Describe the redox ladder. </w:t>
      </w:r>
    </w:p>
    <w:p w:rsidR="004C7AD6" w:rsidRDefault="004C7AD6" w:rsidP="005F1EAB">
      <w:pPr>
        <w:spacing w:after="120"/>
        <w:ind w:left="720"/>
      </w:pPr>
      <w:r>
        <w:t xml:space="preserve">(b). Explain the conceptual changes in species concentrations in groundwater as it travels away from the recharge area (see figure below). The confined aquifer is hypothetical: it contains organic carbon and all the major electron acceptors. </w:t>
      </w:r>
    </w:p>
    <w:p w:rsidR="005F1EAB" w:rsidRDefault="005F1EAB" w:rsidP="0017288C">
      <w:pPr>
        <w:spacing w:after="120"/>
      </w:pPr>
    </w:p>
    <w:p w:rsidR="004C7AD6" w:rsidRDefault="0017288C" w:rsidP="004C7AD6">
      <w:pPr>
        <w:spacing w:after="120"/>
        <w:ind w:left="72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65E58CF" wp14:editId="5C81DB3C">
                <wp:extent cx="4114800" cy="1732330"/>
                <wp:effectExtent l="0" t="0" r="19050" b="20320"/>
                <wp:docPr id="1" name="Grou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114800" cy="1732330"/>
                          <a:chOff x="2520" y="6465"/>
                          <a:chExt cx="11400" cy="4937"/>
                        </a:xfrm>
                      </wpg:grpSpPr>
                      <wps:wsp>
                        <wps:cNvPr id="2" name="AutoShape 1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520" y="6465"/>
                            <a:ext cx="11400" cy="49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520" y="6465"/>
                            <a:ext cx="11400" cy="4937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6" descr="redox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" y="6698"/>
                            <a:ext cx="10789" cy="4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324pt;height:136.4pt;mso-position-horizontal-relative:char;mso-position-vertical-relative:line" coordorigin="2520,6465" coordsize="11400,49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">
                <o:lock v:ext="edit" aspectratio="t"/>
                <v:rect id="AutoShape 14" o:spid="_x0000_s1027" style="position:absolute;left:2520;top:6465;width:11400;height:4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v:rect id="Rectangle 15" o:spid="_x0000_s1028" style="position:absolute;left:2520;top:6465;width:11400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R074A&#10;AADaAAAADwAAAGRycy9kb3ducmV2LnhtbESPSwvCMBCE74L/IazgTVMVRKpRRPBxEx8HvS3N2hab&#10;TW2itv/eCILHYWa+YWaL2hTiRZXLLSsY9CMQxInVOacKzqd1bwLCeWSNhWVS0JCDxbzdmmGs7ZsP&#10;9Dr6VAQIuxgVZN6XsZQuycig69uSOHg3Wxn0QVap1BW+A9wUchhFY2kw57CQYUmrjJL78WkU7FfN&#10;eLO5PptUPm72bLZcRhdWqtupl1MQnmr/D//aO61gBN8r4Qb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AkdO+AAAA2gAAAA8AAAAAAAAAAAAAAAAAmAIAAGRycy9kb3ducmV2&#10;LnhtbFBLBQYAAAAABAAEAPUAAACDAwAAAAA=&#10;" fillcolor="#ffc" strokecolor="white">
                  <v:shadow color="#00051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alt="redox1" style="position:absolute;left:2723;top:6698;width:10789;height:4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UfUPBAAAA2gAAAA8AAABkcnMvZG93bnJldi54bWxEj0+LwjAUxO/CfofwFrzImlpE3GqURRB6&#10;9B97fts827LNS0lirX56Iwgeh5nfDLNc96YRHTlfW1YwGScgiAuray4VnI7brzkIH5A1NpZJwY08&#10;rFcfgyVm2l55T90hlCKWsM9QQRVCm0npi4oM+rFtiaN3ts5giNKVUju8xnLTyDRJZtJgzXGhwpY2&#10;FRX/h4tRMHWjfJ7P/jr5fStN/3tP02SXKjX87H8WIAL14R1+0bmOHDyvxBsgV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7UfUPBAAAA2gAAAA8AAAAAAAAAAAAAAAAAnwIA&#10;AGRycy9kb3ducmV2LnhtbFBLBQYAAAAABAAEAPcAAACNAwAAAAA=&#10;">
                  <v:imagedata r:id="rId10" o:title="redox1"/>
                </v:shape>
                <w10:anchorlock/>
              </v:group>
            </w:pict>
          </mc:Fallback>
        </mc:AlternateContent>
      </w:r>
    </w:p>
    <w:p w:rsidR="0017288C" w:rsidRDefault="0017288C" w:rsidP="004C7AD6">
      <w:pPr>
        <w:ind w:left="360"/>
      </w:pPr>
    </w:p>
    <w:p w:rsidR="007C1F1B" w:rsidRDefault="0017288C" w:rsidP="0017288C">
      <w:r>
        <w:t xml:space="preserve">6. </w:t>
      </w:r>
      <w:r w:rsidR="00282BB5">
        <w:t>High concentration</w:t>
      </w:r>
      <w:r w:rsidR="007C5E3D">
        <w:t>s</w:t>
      </w:r>
      <w:r w:rsidR="00282BB5">
        <w:t xml:space="preserve"> of Arsenic in </w:t>
      </w:r>
      <w:r w:rsidR="0081743C">
        <w:t>Bangladesh</w:t>
      </w:r>
      <w:r w:rsidR="00282BB5">
        <w:t xml:space="preserve">’s groundwater </w:t>
      </w:r>
      <w:proofErr w:type="gramStart"/>
      <w:r w:rsidR="00282BB5">
        <w:t>has</w:t>
      </w:r>
      <w:proofErr w:type="gramEnd"/>
      <w:r w:rsidR="00282BB5">
        <w:t xml:space="preserve"> had devastating effect on human health and has received attention from scientists around the world. There are major debates on the causes of the high arsenic concentrations in the groundwater. </w:t>
      </w:r>
      <w:r w:rsidR="007C1F1B">
        <w:t xml:space="preserve">Early studies sponsored by the World Health Organization (WHO) suggested oxidation of </w:t>
      </w:r>
      <w:proofErr w:type="spellStart"/>
      <w:r w:rsidR="007C1F1B">
        <w:t>arsenopyrite</w:t>
      </w:r>
      <w:proofErr w:type="spellEnd"/>
      <w:r w:rsidR="007C1F1B">
        <w:t xml:space="preserve"> as the mechanism of releasing </w:t>
      </w:r>
      <w:proofErr w:type="gramStart"/>
      <w:r w:rsidR="007C1F1B">
        <w:t>As</w:t>
      </w:r>
      <w:proofErr w:type="gramEnd"/>
      <w:r w:rsidR="007C1F1B">
        <w:t xml:space="preserve"> into the groundwater. However, a careful examination on the </w:t>
      </w:r>
      <w:proofErr w:type="spellStart"/>
      <w:r w:rsidR="007C1F1B">
        <w:t>pe</w:t>
      </w:r>
      <w:proofErr w:type="spellEnd"/>
      <w:r w:rsidR="007C1F1B">
        <w:t xml:space="preserve">-pH diagram of the </w:t>
      </w:r>
      <w:proofErr w:type="gramStart"/>
      <w:r w:rsidR="007C1F1B">
        <w:t>As</w:t>
      </w:r>
      <w:proofErr w:type="gramEnd"/>
      <w:r w:rsidR="007C1F1B">
        <w:t xml:space="preserve"> species suggests the mobility of As </w:t>
      </w:r>
      <w:r w:rsidR="007C1F1B">
        <w:lastRenderedPageBreak/>
        <w:t xml:space="preserve">species </w:t>
      </w:r>
      <w:r w:rsidR="007C5E3D">
        <w:t xml:space="preserve">under oxidized conditions </w:t>
      </w:r>
      <w:r w:rsidR="007C1F1B">
        <w:t xml:space="preserve">is unlikely. Charles Harvey et al., (2002) suggested an alternative mechanism to explain the high concentration of As in Bangladesh’s </w:t>
      </w:r>
      <w:proofErr w:type="spellStart"/>
      <w:r w:rsidR="007C1F1B">
        <w:t>groundwaters</w:t>
      </w:r>
      <w:proofErr w:type="spellEnd"/>
      <w:r w:rsidR="007C1F1B">
        <w:t>. Please read this paper (posted on Canvas) and two other related papers and answer the following questions:</w:t>
      </w:r>
    </w:p>
    <w:p w:rsidR="007C1F1B" w:rsidRDefault="007C1F1B" w:rsidP="0017288C"/>
    <w:p w:rsidR="007C1F1B" w:rsidRDefault="007C1F1B" w:rsidP="0017288C">
      <w:r>
        <w:t xml:space="preserve">1). </w:t>
      </w:r>
      <w:proofErr w:type="gramStart"/>
      <w:r w:rsidR="008A6363">
        <w:t>What</w:t>
      </w:r>
      <w:proofErr w:type="gramEnd"/>
      <w:r w:rsidR="008A6363">
        <w:t xml:space="preserve"> is the predominant oxidation state of the dissolved As species in the </w:t>
      </w:r>
      <w:proofErr w:type="spellStart"/>
      <w:r w:rsidR="008A6363">
        <w:t>groundwaters</w:t>
      </w:r>
      <w:proofErr w:type="spellEnd"/>
      <w:r w:rsidR="008A6363">
        <w:t>?</w:t>
      </w:r>
      <w:r w:rsidR="007C5E3D">
        <w:t xml:space="preserve"> Why is </w:t>
      </w:r>
      <w:proofErr w:type="gramStart"/>
      <w:r w:rsidR="007C5E3D">
        <w:t>As</w:t>
      </w:r>
      <w:proofErr w:type="gramEnd"/>
      <w:r w:rsidR="007C5E3D">
        <w:t xml:space="preserve"> unlikely to be mobile under oxidized conditions?</w:t>
      </w:r>
    </w:p>
    <w:p w:rsidR="008A6363" w:rsidRDefault="008A6363" w:rsidP="0017288C"/>
    <w:p w:rsidR="008A6363" w:rsidRDefault="008A6363" w:rsidP="0017288C">
      <w:r>
        <w:t xml:space="preserve">2) Is </w:t>
      </w:r>
      <w:proofErr w:type="spellStart"/>
      <w:r>
        <w:t>arsenopyrite</w:t>
      </w:r>
      <w:proofErr w:type="spellEnd"/>
      <w:r>
        <w:t xml:space="preserve"> (or pyrite with high arsenic content) or </w:t>
      </w:r>
      <w:proofErr w:type="spellStart"/>
      <w:r>
        <w:t>iorn</w:t>
      </w:r>
      <w:proofErr w:type="spellEnd"/>
      <w:r>
        <w:t xml:space="preserve"> oxide (with significant amount of </w:t>
      </w:r>
      <w:proofErr w:type="gramStart"/>
      <w:r>
        <w:t>As</w:t>
      </w:r>
      <w:proofErr w:type="gramEnd"/>
      <w:r>
        <w:t xml:space="preserve"> absorbed on it) the main direct source for dissolved As</w:t>
      </w:r>
      <w:r w:rsidR="007C5E3D">
        <w:t xml:space="preserve"> in ground waters</w:t>
      </w:r>
      <w:r>
        <w:t>?</w:t>
      </w:r>
    </w:p>
    <w:p w:rsidR="008A6363" w:rsidRDefault="008A6363" w:rsidP="0017288C"/>
    <w:p w:rsidR="008A6363" w:rsidRDefault="008A6363" w:rsidP="0017288C">
      <w:r>
        <w:t xml:space="preserve">3) In Fig.1 of Harvey et al. (2001), the highest concentration of dissolved </w:t>
      </w:r>
      <w:proofErr w:type="gramStart"/>
      <w:r>
        <w:t>As</w:t>
      </w:r>
      <w:proofErr w:type="gramEnd"/>
      <w:r>
        <w:t xml:space="preserve"> is at around 30 to 40 m. At around the similar depth, sulfate concentrations reach the minimum, whereas </w:t>
      </w:r>
      <w:r w:rsidR="007D0433">
        <w:t xml:space="preserve">ammonium and calcium concentrations </w:t>
      </w:r>
      <w:r w:rsidR="007C5E3D">
        <w:t>peak</w:t>
      </w:r>
      <w:r w:rsidR="007D0433">
        <w:t xml:space="preserve">. Explain these </w:t>
      </w:r>
      <w:r w:rsidR="007C5E3D">
        <w:t xml:space="preserve">concentration changes and </w:t>
      </w:r>
      <w:r w:rsidR="007D0433">
        <w:t xml:space="preserve">correlations. </w:t>
      </w:r>
    </w:p>
    <w:p w:rsidR="007D0433" w:rsidRDefault="007D0433" w:rsidP="0017288C"/>
    <w:p w:rsidR="0038563F" w:rsidRDefault="007D0433" w:rsidP="0017288C">
      <w:r>
        <w:t xml:space="preserve">4). </w:t>
      </w:r>
      <w:r w:rsidR="0038563F">
        <w:t>In Fig.2</w:t>
      </w:r>
      <w:r w:rsidR="003F5817">
        <w:t>A</w:t>
      </w:r>
      <w:r w:rsidR="0038563F">
        <w:t xml:space="preserve"> of Harvey et al (2001), authors describe how </w:t>
      </w:r>
      <w:proofErr w:type="gramStart"/>
      <w:r w:rsidR="0038563F">
        <w:t>As</w:t>
      </w:r>
      <w:proofErr w:type="gramEnd"/>
      <w:r w:rsidR="0038563F">
        <w:t xml:space="preserve"> concentration in </w:t>
      </w:r>
      <w:proofErr w:type="spellStart"/>
      <w:r w:rsidR="0038563F">
        <w:t>groundwaters</w:t>
      </w:r>
      <w:proofErr w:type="spellEnd"/>
      <w:r w:rsidR="0038563F">
        <w:t xml:space="preserve"> respond to artificial injection of nitrate. Please explain the observations that </w:t>
      </w:r>
      <w:proofErr w:type="gramStart"/>
      <w:r w:rsidR="0038563F">
        <w:t>As</w:t>
      </w:r>
      <w:proofErr w:type="gramEnd"/>
      <w:r w:rsidR="0038563F">
        <w:t xml:space="preserve"> levels fall rapidly when nitrate is add</w:t>
      </w:r>
      <w:r w:rsidR="003F5817">
        <w:t>ed</w:t>
      </w:r>
      <w:r w:rsidR="0038563F">
        <w:t xml:space="preserve">. </w:t>
      </w:r>
    </w:p>
    <w:p w:rsidR="0038563F" w:rsidRDefault="0038563F" w:rsidP="0017288C"/>
    <w:p w:rsidR="007D0433" w:rsidRDefault="0038563F" w:rsidP="0017288C">
      <w:r>
        <w:t xml:space="preserve">5) </w:t>
      </w:r>
      <w:r w:rsidR="007D0433">
        <w:t>In Fig.3 of Harvey et al. (2001), dissolved inorganic carbon (DIC) in the groundwater is significantly younger (as determined by radiocarbon dating) than the dissolved organic carbon (DOC). Also, DIC (-5 to -10 ‰) has much higher carbon isotopic ratio (δ</w:t>
      </w:r>
      <w:r w:rsidR="007D0433" w:rsidRPr="007D0433">
        <w:rPr>
          <w:vertAlign w:val="superscript"/>
        </w:rPr>
        <w:t>13</w:t>
      </w:r>
      <w:r w:rsidR="007D0433">
        <w:t xml:space="preserve">C) than DOC (-25 to -28 ‰). Can you explain the observation? </w:t>
      </w:r>
      <w:r w:rsidR="007D0433" w:rsidRPr="007C5E3D">
        <w:rPr>
          <w:u w:val="single"/>
        </w:rPr>
        <w:t>Hint: δ</w:t>
      </w:r>
      <w:r w:rsidR="007D0433" w:rsidRPr="007C5E3D">
        <w:rPr>
          <w:u w:val="single"/>
          <w:vertAlign w:val="superscript"/>
        </w:rPr>
        <w:t>13</w:t>
      </w:r>
      <w:r w:rsidR="007D0433" w:rsidRPr="007C5E3D">
        <w:rPr>
          <w:u w:val="single"/>
        </w:rPr>
        <w:t>C value of marine carbonate minerals is about 0 ‰</w:t>
      </w:r>
      <w:r w:rsidR="00D66CE3" w:rsidRPr="007C5E3D">
        <w:rPr>
          <w:u w:val="single"/>
        </w:rPr>
        <w:t>, whereas δ</w:t>
      </w:r>
      <w:r w:rsidR="00D66CE3" w:rsidRPr="007C5E3D">
        <w:rPr>
          <w:u w:val="single"/>
          <w:vertAlign w:val="superscript"/>
        </w:rPr>
        <w:t>13</w:t>
      </w:r>
      <w:r w:rsidR="00D66CE3" w:rsidRPr="007C5E3D">
        <w:rPr>
          <w:u w:val="single"/>
        </w:rPr>
        <w:t>C value of plant organic matter is about -25 to -28 ‰.</w:t>
      </w:r>
      <w:r w:rsidR="007C5E3D">
        <w:rPr>
          <w:u w:val="single"/>
        </w:rPr>
        <w:t xml:space="preserve"> Therefore if the carbon comes from carbonate dissolution, the </w:t>
      </w:r>
      <w:r w:rsidR="007C5E3D" w:rsidRPr="007C5E3D">
        <w:rPr>
          <w:u w:val="single"/>
        </w:rPr>
        <w:t>δ</w:t>
      </w:r>
      <w:r w:rsidR="007C5E3D" w:rsidRPr="007C5E3D">
        <w:rPr>
          <w:u w:val="single"/>
          <w:vertAlign w:val="superscript"/>
        </w:rPr>
        <w:t>13</w:t>
      </w:r>
      <w:r w:rsidR="007C5E3D" w:rsidRPr="007C5E3D">
        <w:rPr>
          <w:u w:val="single"/>
        </w:rPr>
        <w:t>C value</w:t>
      </w:r>
      <w:r w:rsidR="007C5E3D">
        <w:rPr>
          <w:u w:val="single"/>
        </w:rPr>
        <w:t xml:space="preserve"> would approach 0 </w:t>
      </w:r>
      <w:r w:rsidR="007C5E3D" w:rsidRPr="007C5E3D">
        <w:rPr>
          <w:u w:val="single"/>
        </w:rPr>
        <w:t>‰</w:t>
      </w:r>
      <w:r w:rsidR="007C5E3D">
        <w:t xml:space="preserve">. </w:t>
      </w:r>
    </w:p>
    <w:p w:rsidR="0038563F" w:rsidRDefault="0038563F" w:rsidP="0017288C"/>
    <w:p w:rsidR="00E620D5" w:rsidRPr="007C1F1B" w:rsidRDefault="003F5817" w:rsidP="0017288C">
      <w:r>
        <w:t>6</w:t>
      </w:r>
      <w:r w:rsidR="00E620D5">
        <w:t xml:space="preserve">). Explain the concentration trends in the As (III), As (V) and Fe (II) during the incubation experiments carried out in Islam et al (2004). </w:t>
      </w:r>
      <w:r w:rsidR="00BD3DB0">
        <w:t>According to the paper</w:t>
      </w:r>
      <w:r w:rsidR="00E620D5">
        <w:t xml:space="preserve">, is the reduction of </w:t>
      </w:r>
      <w:proofErr w:type="gramStart"/>
      <w:r w:rsidR="00E620D5">
        <w:t>As</w:t>
      </w:r>
      <w:proofErr w:type="gramEnd"/>
      <w:r w:rsidR="00E620D5">
        <w:t xml:space="preserve"> (v) to As (III)</w:t>
      </w:r>
      <w:r w:rsidR="00BD3DB0">
        <w:t xml:space="preserve"> by microbes</w:t>
      </w:r>
      <w:r w:rsidR="00E620D5">
        <w:t xml:space="preserve"> an assimilative or dissimilative process? </w:t>
      </w:r>
      <w:r w:rsidR="00BD3DB0">
        <w:t>Why?</w:t>
      </w:r>
    </w:p>
    <w:sectPr w:rsidR="00E620D5" w:rsidRPr="007C1F1B" w:rsidSect="004C7AD6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DA" w:rsidRDefault="007819DA">
      <w:r>
        <w:separator/>
      </w:r>
    </w:p>
  </w:endnote>
  <w:endnote w:type="continuationSeparator" w:id="0">
    <w:p w:rsidR="007819DA" w:rsidRDefault="0078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D6" w:rsidRDefault="00AA1F0B" w:rsidP="004C7A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7A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7AD6" w:rsidRDefault="004C7AD6" w:rsidP="004C7A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D6" w:rsidRDefault="00AA1F0B" w:rsidP="004C7A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7AD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8D7">
      <w:rPr>
        <w:rStyle w:val="PageNumber"/>
        <w:noProof/>
      </w:rPr>
      <w:t>1</w:t>
    </w:r>
    <w:r>
      <w:rPr>
        <w:rStyle w:val="PageNumber"/>
      </w:rPr>
      <w:fldChar w:fldCharType="end"/>
    </w:r>
  </w:p>
  <w:p w:rsidR="004C7AD6" w:rsidRDefault="004C7AD6" w:rsidP="004C7A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DA" w:rsidRDefault="007819DA">
      <w:r>
        <w:separator/>
      </w:r>
    </w:p>
  </w:footnote>
  <w:footnote w:type="continuationSeparator" w:id="0">
    <w:p w:rsidR="007819DA" w:rsidRDefault="00781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65BC"/>
    <w:multiLevelType w:val="hybridMultilevel"/>
    <w:tmpl w:val="FE280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74EE0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ACCBC6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E052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FB023B2"/>
    <w:multiLevelType w:val="hybridMultilevel"/>
    <w:tmpl w:val="3A180880"/>
    <w:lvl w:ilvl="0" w:tplc="558C34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022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988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67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0F2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41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E71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60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A0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710735"/>
    <w:multiLevelType w:val="hybridMultilevel"/>
    <w:tmpl w:val="71AE9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8D2369"/>
    <w:multiLevelType w:val="hybridMultilevel"/>
    <w:tmpl w:val="55088904"/>
    <w:lvl w:ilvl="0" w:tplc="F2DC88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6AD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60C5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870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6B6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FE1B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8F9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9C6E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1A27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662278"/>
    <w:multiLevelType w:val="hybridMultilevel"/>
    <w:tmpl w:val="F62CC1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E8089C"/>
    <w:multiLevelType w:val="hybridMultilevel"/>
    <w:tmpl w:val="A888E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7457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7B74EF1"/>
    <w:multiLevelType w:val="hybridMultilevel"/>
    <w:tmpl w:val="D1789B46"/>
    <w:lvl w:ilvl="0" w:tplc="A4003D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069D5"/>
    <w:multiLevelType w:val="hybridMultilevel"/>
    <w:tmpl w:val="F7C6FF42"/>
    <w:lvl w:ilvl="0" w:tplc="432A3600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F57E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B3"/>
    <w:rsid w:val="00093549"/>
    <w:rsid w:val="000A3DCB"/>
    <w:rsid w:val="00154455"/>
    <w:rsid w:val="0015729A"/>
    <w:rsid w:val="0017288C"/>
    <w:rsid w:val="0017332D"/>
    <w:rsid w:val="001E1469"/>
    <w:rsid w:val="00227429"/>
    <w:rsid w:val="002364E1"/>
    <w:rsid w:val="00274341"/>
    <w:rsid w:val="00282BB5"/>
    <w:rsid w:val="0029419A"/>
    <w:rsid w:val="002C02CB"/>
    <w:rsid w:val="002D15B1"/>
    <w:rsid w:val="002F0877"/>
    <w:rsid w:val="00363441"/>
    <w:rsid w:val="0038563F"/>
    <w:rsid w:val="003D10DE"/>
    <w:rsid w:val="003F5817"/>
    <w:rsid w:val="004C7AD6"/>
    <w:rsid w:val="005571FE"/>
    <w:rsid w:val="005F1EAB"/>
    <w:rsid w:val="00610CFE"/>
    <w:rsid w:val="006927D8"/>
    <w:rsid w:val="006A5F34"/>
    <w:rsid w:val="006D48D7"/>
    <w:rsid w:val="007349A9"/>
    <w:rsid w:val="00735117"/>
    <w:rsid w:val="00777491"/>
    <w:rsid w:val="007819DA"/>
    <w:rsid w:val="007C1F1B"/>
    <w:rsid w:val="007C5E3D"/>
    <w:rsid w:val="007D0433"/>
    <w:rsid w:val="00801DCC"/>
    <w:rsid w:val="0081743C"/>
    <w:rsid w:val="008A6363"/>
    <w:rsid w:val="009501C2"/>
    <w:rsid w:val="00954FE6"/>
    <w:rsid w:val="00992ACA"/>
    <w:rsid w:val="00A358DA"/>
    <w:rsid w:val="00AA1F0B"/>
    <w:rsid w:val="00AB248A"/>
    <w:rsid w:val="00B0319A"/>
    <w:rsid w:val="00B056F5"/>
    <w:rsid w:val="00B51DB3"/>
    <w:rsid w:val="00BD3DB0"/>
    <w:rsid w:val="00CF2904"/>
    <w:rsid w:val="00D66CE3"/>
    <w:rsid w:val="00E620D5"/>
    <w:rsid w:val="00EF07F5"/>
    <w:rsid w:val="00FB5B6C"/>
    <w:rsid w:val="00FE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05C9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04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04F8"/>
  </w:style>
  <w:style w:type="paragraph" w:styleId="BodyTextIndent">
    <w:name w:val="Body Text Indent"/>
    <w:basedOn w:val="Normal"/>
    <w:rsid w:val="00653ADF"/>
    <w:pPr>
      <w:ind w:left="360"/>
    </w:pPr>
    <w:rPr>
      <w:rFonts w:eastAsia="Times New Roman"/>
      <w:szCs w:val="20"/>
    </w:rPr>
  </w:style>
  <w:style w:type="paragraph" w:styleId="BalloonText">
    <w:name w:val="Balloon Text"/>
    <w:basedOn w:val="Normal"/>
    <w:link w:val="BalloonTextChar"/>
    <w:rsid w:val="00D74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20C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rsid w:val="007774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77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7749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77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77491"/>
    <w:rPr>
      <w:b/>
      <w:bCs/>
      <w:lang w:eastAsia="zh-CN"/>
    </w:rPr>
  </w:style>
  <w:style w:type="paragraph" w:styleId="ListParagraph">
    <w:name w:val="List Paragraph"/>
    <w:basedOn w:val="Normal"/>
    <w:qFormat/>
    <w:rsid w:val="002C0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05C9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04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04F8"/>
  </w:style>
  <w:style w:type="paragraph" w:styleId="BodyTextIndent">
    <w:name w:val="Body Text Indent"/>
    <w:basedOn w:val="Normal"/>
    <w:rsid w:val="00653ADF"/>
    <w:pPr>
      <w:ind w:left="360"/>
    </w:pPr>
    <w:rPr>
      <w:rFonts w:eastAsia="Times New Roman"/>
      <w:szCs w:val="20"/>
    </w:rPr>
  </w:style>
  <w:style w:type="paragraph" w:styleId="BalloonText">
    <w:name w:val="Balloon Text"/>
    <w:basedOn w:val="Normal"/>
    <w:link w:val="BalloonTextChar"/>
    <w:rsid w:val="00D74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20C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rsid w:val="007774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77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7749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77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77491"/>
    <w:rPr>
      <w:b/>
      <w:bCs/>
      <w:lang w:eastAsia="zh-CN"/>
    </w:rPr>
  </w:style>
  <w:style w:type="paragraph" w:styleId="ListParagraph">
    <w:name w:val="List Paragraph"/>
    <w:basedOn w:val="Normal"/>
    <w:qFormat/>
    <w:rsid w:val="002C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3 (due Oct 2, 2003)</vt:lpstr>
    </vt:vector>
  </TitlesOfParts>
  <Company>Brown University</Company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 (due Oct 2, 2003)</dc:title>
  <dc:creator>Geological Sciences</dc:creator>
  <cp:lastModifiedBy>yhuang</cp:lastModifiedBy>
  <cp:revision>3</cp:revision>
  <dcterms:created xsi:type="dcterms:W3CDTF">2014-10-16T18:00:00Z</dcterms:created>
  <dcterms:modified xsi:type="dcterms:W3CDTF">2014-10-16T18:01:00Z</dcterms:modified>
</cp:coreProperties>
</file>