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F7" w:rsidRPr="00FC7E8D" w:rsidRDefault="00F749F7" w:rsidP="00C856A0">
      <w:pPr>
        <w:tabs>
          <w:tab w:val="right" w:pos="8640"/>
        </w:tabs>
        <w:spacing w:after="120"/>
      </w:pPr>
      <w:r w:rsidRPr="00FC7E8D">
        <w:t>Problem set #</w:t>
      </w:r>
      <w:r w:rsidR="00367E11">
        <w:t>7</w:t>
      </w:r>
      <w:r>
        <w:tab/>
      </w:r>
      <w:proofErr w:type="gramStart"/>
      <w:r w:rsidR="001B1E7B">
        <w:t>Fall</w:t>
      </w:r>
      <w:proofErr w:type="gramEnd"/>
      <w:r w:rsidR="001B1E7B">
        <w:t xml:space="preserve"> 2014</w:t>
      </w:r>
    </w:p>
    <w:p w:rsidR="00C856A0" w:rsidRDefault="00C856A0" w:rsidP="00C856A0">
      <w:pPr>
        <w:spacing w:after="120"/>
        <w:jc w:val="center"/>
        <w:rPr>
          <w:b/>
        </w:rPr>
      </w:pPr>
      <w:r>
        <w:rPr>
          <w:b/>
        </w:rPr>
        <w:t>GEOL1370: Environmental Geochemistry</w:t>
      </w:r>
    </w:p>
    <w:p w:rsidR="00C856A0" w:rsidRDefault="00002C3B" w:rsidP="00C856A0">
      <w:pPr>
        <w:spacing w:after="120"/>
        <w:jc w:val="center"/>
        <w:rPr>
          <w:b/>
        </w:rPr>
      </w:pPr>
      <w:r>
        <w:rPr>
          <w:b/>
        </w:rPr>
        <w:t>Rivers and Lakes (Due Tue</w:t>
      </w:r>
      <w:r w:rsidR="00C856A0">
        <w:rPr>
          <w:b/>
        </w:rPr>
        <w:t>sday, 1</w:t>
      </w:r>
      <w:r w:rsidR="004636DD">
        <w:rPr>
          <w:b/>
        </w:rPr>
        <w:t>1</w:t>
      </w:r>
      <w:r w:rsidR="00CB4788">
        <w:rPr>
          <w:b/>
        </w:rPr>
        <w:t>/</w:t>
      </w:r>
      <w:r w:rsidR="004636DD">
        <w:rPr>
          <w:b/>
        </w:rPr>
        <w:t>2</w:t>
      </w:r>
      <w:r w:rsidR="00CB4788">
        <w:rPr>
          <w:b/>
        </w:rPr>
        <w:t>5</w:t>
      </w:r>
      <w:r w:rsidR="00C856A0">
        <w:rPr>
          <w:b/>
        </w:rPr>
        <w:t>)</w:t>
      </w:r>
    </w:p>
    <w:p w:rsidR="004002EA" w:rsidRDefault="004002EA" w:rsidP="00C856A0">
      <w:pPr>
        <w:spacing w:after="120"/>
        <w:jc w:val="center"/>
        <w:rPr>
          <w:b/>
        </w:rPr>
      </w:pPr>
    </w:p>
    <w:p w:rsidR="009422ED" w:rsidRDefault="009422ED" w:rsidP="009422ED">
      <w:pPr>
        <w:pStyle w:val="ListParagraph"/>
        <w:numPr>
          <w:ilvl w:val="0"/>
          <w:numId w:val="9"/>
        </w:numPr>
      </w:pPr>
      <w:r w:rsidRPr="0046511C">
        <w:t>A soil has a bulk density of 1.29 g/cm</w:t>
      </w:r>
      <w:r w:rsidRPr="009422ED">
        <w:rPr>
          <w:vertAlign w:val="superscript"/>
        </w:rPr>
        <w:t>3</w:t>
      </w:r>
      <w:r w:rsidRPr="0046511C">
        <w:t xml:space="preserve"> and an organic carbon content of 1 %. </w:t>
      </w:r>
      <w:r>
        <w:t xml:space="preserve">The porosity of the soil is 30 %, of which 50% is occupied by water and 50% by air. Using values given below, find the percentages of benzene and 2-butanone contained within the solid, liquid, and gas phases. Comment on the how water solubility, Henry’s constant and </w:t>
      </w:r>
      <w:proofErr w:type="spellStart"/>
      <w:r>
        <w:t>K</w:t>
      </w:r>
      <w:r w:rsidRPr="009422ED">
        <w:rPr>
          <w:vertAlign w:val="subscript"/>
        </w:rPr>
        <w:t>ow</w:t>
      </w:r>
      <w:proofErr w:type="spellEnd"/>
      <w:r>
        <w:t xml:space="preserve"> (</w:t>
      </w:r>
      <w:proofErr w:type="spellStart"/>
      <w:r>
        <w:t>octanol</w:t>
      </w:r>
      <w:proofErr w:type="spellEnd"/>
      <w:r>
        <w:t xml:space="preserve">-water partitioning coefficient) affect the distribution of these compounds in the three phases. </w:t>
      </w:r>
    </w:p>
    <w:p w:rsidR="009422ED" w:rsidRDefault="009422ED" w:rsidP="009422ED"/>
    <w:tbl>
      <w:tblPr>
        <w:tblStyle w:val="TableGrid"/>
        <w:tblW w:w="0" w:type="auto"/>
        <w:tblLook w:val="01E0" w:firstRow="1" w:lastRow="1" w:firstColumn="1" w:lastColumn="1" w:noHBand="0" w:noVBand="0"/>
      </w:tblPr>
      <w:tblGrid>
        <w:gridCol w:w="1368"/>
        <w:gridCol w:w="720"/>
        <w:gridCol w:w="1080"/>
        <w:gridCol w:w="1260"/>
        <w:gridCol w:w="1568"/>
        <w:gridCol w:w="1736"/>
        <w:gridCol w:w="1124"/>
      </w:tblGrid>
      <w:tr w:rsidR="009422ED" w:rsidTr="0084334A">
        <w:tc>
          <w:tcPr>
            <w:tcW w:w="1368" w:type="dxa"/>
          </w:tcPr>
          <w:p w:rsidR="009422ED" w:rsidRDefault="009422ED" w:rsidP="0084334A"/>
        </w:tc>
        <w:tc>
          <w:tcPr>
            <w:tcW w:w="720" w:type="dxa"/>
          </w:tcPr>
          <w:p w:rsidR="009422ED" w:rsidRDefault="009422ED" w:rsidP="0084334A">
            <w:r>
              <w:t xml:space="preserve">BP </w:t>
            </w:r>
          </w:p>
          <w:p w:rsidR="009422ED" w:rsidRDefault="009422ED" w:rsidP="0084334A">
            <w:proofErr w:type="spellStart"/>
            <w:r w:rsidRPr="00923060">
              <w:rPr>
                <w:vertAlign w:val="superscript"/>
              </w:rPr>
              <w:t>o</w:t>
            </w:r>
            <w:r>
              <w:t>C</w:t>
            </w:r>
            <w:proofErr w:type="spellEnd"/>
          </w:p>
        </w:tc>
        <w:tc>
          <w:tcPr>
            <w:tcW w:w="1080" w:type="dxa"/>
          </w:tcPr>
          <w:p w:rsidR="009422ED" w:rsidRDefault="009422ED" w:rsidP="0084334A">
            <w:r>
              <w:t xml:space="preserve">Density </w:t>
            </w:r>
          </w:p>
          <w:p w:rsidR="009422ED" w:rsidRDefault="009422ED" w:rsidP="0084334A">
            <w:r>
              <w:t>25</w:t>
            </w:r>
            <w:r w:rsidRPr="00923060">
              <w:rPr>
                <w:vertAlign w:val="superscript"/>
              </w:rPr>
              <w:t>o</w:t>
            </w:r>
            <w:r>
              <w:t>C</w:t>
            </w:r>
          </w:p>
        </w:tc>
        <w:tc>
          <w:tcPr>
            <w:tcW w:w="1260" w:type="dxa"/>
          </w:tcPr>
          <w:p w:rsidR="009422ED" w:rsidRDefault="009422ED" w:rsidP="0084334A">
            <w:r>
              <w:t>Water solubility</w:t>
            </w:r>
          </w:p>
          <w:p w:rsidR="009422ED" w:rsidRDefault="009422ED" w:rsidP="0084334A">
            <w:r>
              <w:t>(mg/l)</w:t>
            </w:r>
          </w:p>
          <w:p w:rsidR="009422ED" w:rsidRDefault="009422ED" w:rsidP="0084334A">
            <w:r>
              <w:t>25</w:t>
            </w:r>
            <w:r w:rsidRPr="00923060">
              <w:rPr>
                <w:vertAlign w:val="superscript"/>
              </w:rPr>
              <w:t>o</w:t>
            </w:r>
            <w:r>
              <w:t>C</w:t>
            </w:r>
          </w:p>
        </w:tc>
        <w:tc>
          <w:tcPr>
            <w:tcW w:w="1568" w:type="dxa"/>
          </w:tcPr>
          <w:p w:rsidR="009422ED" w:rsidRDefault="009422ED" w:rsidP="0084334A">
            <w:r>
              <w:t>Vapor pressure</w:t>
            </w:r>
          </w:p>
          <w:p w:rsidR="009422ED" w:rsidRDefault="009422ED" w:rsidP="0084334A">
            <w:r>
              <w:t>mm Hg</w:t>
            </w:r>
          </w:p>
          <w:p w:rsidR="009422ED" w:rsidRDefault="009422ED" w:rsidP="0084334A">
            <w:r>
              <w:t>10</w:t>
            </w:r>
            <w:r w:rsidRPr="00923060">
              <w:rPr>
                <w:vertAlign w:val="superscript"/>
              </w:rPr>
              <w:t>o</w:t>
            </w:r>
            <w:r>
              <w:t>C</w:t>
            </w:r>
          </w:p>
        </w:tc>
        <w:tc>
          <w:tcPr>
            <w:tcW w:w="1736" w:type="dxa"/>
          </w:tcPr>
          <w:p w:rsidR="009422ED" w:rsidRDefault="009422ED" w:rsidP="0084334A">
            <w:r>
              <w:t>Henry’s constant</w:t>
            </w:r>
          </w:p>
          <w:p w:rsidR="009422ED" w:rsidRDefault="009422ED" w:rsidP="0084334A">
            <w:r>
              <w:t>(dimensionless)</w:t>
            </w:r>
          </w:p>
          <w:p w:rsidR="009422ED" w:rsidRDefault="009422ED" w:rsidP="0084334A">
            <w:r>
              <w:t>25</w:t>
            </w:r>
            <w:r w:rsidRPr="00923060">
              <w:rPr>
                <w:vertAlign w:val="superscript"/>
              </w:rPr>
              <w:t>o</w:t>
            </w:r>
            <w:r>
              <w:t>C</w:t>
            </w:r>
          </w:p>
        </w:tc>
        <w:tc>
          <w:tcPr>
            <w:tcW w:w="1124" w:type="dxa"/>
          </w:tcPr>
          <w:p w:rsidR="009422ED" w:rsidRDefault="009422ED" w:rsidP="0084334A">
            <w:proofErr w:type="spellStart"/>
            <w:r>
              <w:t>K</w:t>
            </w:r>
            <w:r w:rsidRPr="00923060">
              <w:rPr>
                <w:vertAlign w:val="subscript"/>
              </w:rPr>
              <w:t>ow</w:t>
            </w:r>
            <w:proofErr w:type="spellEnd"/>
          </w:p>
        </w:tc>
      </w:tr>
      <w:tr w:rsidR="009422ED" w:rsidTr="0084334A">
        <w:tc>
          <w:tcPr>
            <w:tcW w:w="1368" w:type="dxa"/>
          </w:tcPr>
          <w:p w:rsidR="009422ED" w:rsidRDefault="009422ED" w:rsidP="0084334A">
            <w:r>
              <w:t>Benzene</w:t>
            </w:r>
          </w:p>
        </w:tc>
        <w:tc>
          <w:tcPr>
            <w:tcW w:w="720" w:type="dxa"/>
          </w:tcPr>
          <w:p w:rsidR="009422ED" w:rsidRDefault="009422ED" w:rsidP="0084334A">
            <w:r>
              <w:t>80.1</w:t>
            </w:r>
          </w:p>
        </w:tc>
        <w:tc>
          <w:tcPr>
            <w:tcW w:w="1080" w:type="dxa"/>
          </w:tcPr>
          <w:p w:rsidR="009422ED" w:rsidRDefault="009422ED" w:rsidP="0084334A">
            <w:r>
              <w:t>0.88</w:t>
            </w:r>
          </w:p>
        </w:tc>
        <w:tc>
          <w:tcPr>
            <w:tcW w:w="1260" w:type="dxa"/>
          </w:tcPr>
          <w:p w:rsidR="009422ED" w:rsidRDefault="009422ED" w:rsidP="0084334A">
            <w:r>
              <w:t>1770</w:t>
            </w:r>
          </w:p>
        </w:tc>
        <w:tc>
          <w:tcPr>
            <w:tcW w:w="1568" w:type="dxa"/>
          </w:tcPr>
          <w:p w:rsidR="009422ED" w:rsidRDefault="009422ED" w:rsidP="0084334A">
            <w:r>
              <w:t>47.8</w:t>
            </w:r>
          </w:p>
        </w:tc>
        <w:tc>
          <w:tcPr>
            <w:tcW w:w="1736" w:type="dxa"/>
          </w:tcPr>
          <w:p w:rsidR="009422ED" w:rsidRDefault="009422ED" w:rsidP="0084334A">
            <w:r>
              <w:t>0.22</w:t>
            </w:r>
          </w:p>
        </w:tc>
        <w:tc>
          <w:tcPr>
            <w:tcW w:w="1124" w:type="dxa"/>
          </w:tcPr>
          <w:p w:rsidR="009422ED" w:rsidRDefault="009422ED" w:rsidP="0084334A">
            <w:r>
              <w:t>134.9</w:t>
            </w:r>
          </w:p>
        </w:tc>
      </w:tr>
      <w:tr w:rsidR="009422ED" w:rsidTr="0084334A">
        <w:tc>
          <w:tcPr>
            <w:tcW w:w="1368" w:type="dxa"/>
          </w:tcPr>
          <w:p w:rsidR="009422ED" w:rsidRDefault="009422ED" w:rsidP="0084334A">
            <w:r>
              <w:t>2-Butanone</w:t>
            </w:r>
          </w:p>
        </w:tc>
        <w:tc>
          <w:tcPr>
            <w:tcW w:w="720" w:type="dxa"/>
          </w:tcPr>
          <w:p w:rsidR="009422ED" w:rsidRDefault="009422ED" w:rsidP="0084334A">
            <w:r>
              <w:t>79.6</w:t>
            </w:r>
          </w:p>
        </w:tc>
        <w:tc>
          <w:tcPr>
            <w:tcW w:w="1080" w:type="dxa"/>
          </w:tcPr>
          <w:p w:rsidR="009422ED" w:rsidRDefault="009422ED" w:rsidP="0084334A">
            <w:r>
              <w:t>0.7994</w:t>
            </w:r>
          </w:p>
        </w:tc>
        <w:tc>
          <w:tcPr>
            <w:tcW w:w="1260" w:type="dxa"/>
          </w:tcPr>
          <w:p w:rsidR="009422ED" w:rsidRDefault="009422ED" w:rsidP="0084334A">
            <w:r>
              <w:t>26,800</w:t>
            </w:r>
          </w:p>
        </w:tc>
        <w:tc>
          <w:tcPr>
            <w:tcW w:w="1568" w:type="dxa"/>
          </w:tcPr>
          <w:p w:rsidR="009422ED" w:rsidRDefault="009422ED" w:rsidP="0084334A">
            <w:r>
              <w:t>314.3</w:t>
            </w:r>
          </w:p>
        </w:tc>
        <w:tc>
          <w:tcPr>
            <w:tcW w:w="1736" w:type="dxa"/>
          </w:tcPr>
          <w:p w:rsidR="009422ED" w:rsidRDefault="009422ED" w:rsidP="0084334A">
            <w:r>
              <w:t>0.001</w:t>
            </w:r>
          </w:p>
        </w:tc>
        <w:tc>
          <w:tcPr>
            <w:tcW w:w="1124" w:type="dxa"/>
          </w:tcPr>
          <w:p w:rsidR="009422ED" w:rsidRDefault="009422ED" w:rsidP="0084334A">
            <w:r>
              <w:t>1.82</w:t>
            </w:r>
          </w:p>
        </w:tc>
      </w:tr>
    </w:tbl>
    <w:p w:rsidR="009422ED" w:rsidRDefault="009422ED" w:rsidP="009422ED"/>
    <w:p w:rsidR="009422ED" w:rsidRDefault="009422ED" w:rsidP="00562D6E">
      <w:pPr>
        <w:ind w:left="360"/>
      </w:pPr>
      <w:r>
        <w:t>Briefly explain the reasons for different partitions in the three pha</w:t>
      </w:r>
      <w:r w:rsidR="00562D6E">
        <w:t xml:space="preserve">ses for benzene and 2-butanone, and potential methods for cleaning up these compounds from a contaminated aquifer. </w:t>
      </w:r>
      <w:bookmarkStart w:id="0" w:name="_GoBack"/>
      <w:bookmarkEnd w:id="0"/>
    </w:p>
    <w:p w:rsidR="009422ED" w:rsidRDefault="009422ED" w:rsidP="009422ED">
      <w:pPr>
        <w:pStyle w:val="ColorfulList-Accent11"/>
        <w:tabs>
          <w:tab w:val="left" w:pos="0"/>
        </w:tabs>
        <w:ind w:left="360"/>
        <w:rPr>
          <w:color w:val="000000"/>
          <w:szCs w:val="27"/>
        </w:rPr>
      </w:pPr>
    </w:p>
    <w:p w:rsidR="00C04309" w:rsidRDefault="00C04309" w:rsidP="009422ED">
      <w:pPr>
        <w:pStyle w:val="ColorfulList-Accent11"/>
        <w:numPr>
          <w:ilvl w:val="0"/>
          <w:numId w:val="9"/>
        </w:numPr>
        <w:tabs>
          <w:tab w:val="left" w:pos="0"/>
        </w:tabs>
        <w:rPr>
          <w:color w:val="000000"/>
          <w:szCs w:val="27"/>
        </w:rPr>
      </w:pPr>
      <w:r>
        <w:rPr>
          <w:color w:val="000000"/>
          <w:szCs w:val="27"/>
        </w:rPr>
        <w:t xml:space="preserve">What are the key factors controlling the suspended sediment loads in rivers.  Why does ~ ¾ suspended sediment </w:t>
      </w:r>
      <w:proofErr w:type="gramStart"/>
      <w:r>
        <w:rPr>
          <w:color w:val="000000"/>
          <w:szCs w:val="27"/>
        </w:rPr>
        <w:t>transport</w:t>
      </w:r>
      <w:proofErr w:type="gramEnd"/>
      <w:r>
        <w:rPr>
          <w:color w:val="000000"/>
          <w:szCs w:val="27"/>
        </w:rPr>
        <w:t xml:space="preserve"> by rivers into ocean around the world occur in Asia and Pacific Islands, when none of the three largest rivers in the world is in the region?</w:t>
      </w:r>
    </w:p>
    <w:p w:rsidR="00C04309" w:rsidRPr="00C04309" w:rsidRDefault="00C04309" w:rsidP="00C04309">
      <w:pPr>
        <w:pStyle w:val="ColorfulList-Accent11"/>
        <w:tabs>
          <w:tab w:val="left" w:pos="0"/>
        </w:tabs>
        <w:ind w:left="360"/>
        <w:rPr>
          <w:color w:val="000000"/>
          <w:szCs w:val="27"/>
        </w:rPr>
      </w:pPr>
    </w:p>
    <w:p w:rsidR="00C856A0" w:rsidRPr="00DA6BB9" w:rsidRDefault="00C856A0" w:rsidP="009422ED">
      <w:pPr>
        <w:pStyle w:val="ColorfulList-Accent11"/>
        <w:numPr>
          <w:ilvl w:val="0"/>
          <w:numId w:val="9"/>
        </w:numPr>
        <w:tabs>
          <w:tab w:val="left" w:pos="0"/>
        </w:tabs>
        <w:rPr>
          <w:color w:val="000000"/>
          <w:szCs w:val="27"/>
        </w:rPr>
      </w:pPr>
      <w:r>
        <w:t>The following data were obtained for the dissolved chemical compositions of three rivers</w:t>
      </w:r>
    </w:p>
    <w:p w:rsidR="00C856A0" w:rsidRPr="000824F5" w:rsidRDefault="00C856A0" w:rsidP="00C856A0">
      <w:pPr>
        <w:rPr>
          <w:sz w:val="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50"/>
        <w:gridCol w:w="885"/>
        <w:gridCol w:w="885"/>
        <w:gridCol w:w="885"/>
        <w:gridCol w:w="886"/>
        <w:gridCol w:w="886"/>
        <w:gridCol w:w="886"/>
        <w:gridCol w:w="886"/>
        <w:gridCol w:w="886"/>
        <w:gridCol w:w="886"/>
      </w:tblGrid>
      <w:tr w:rsidR="00C856A0">
        <w:tc>
          <w:tcPr>
            <w:tcW w:w="8658" w:type="dxa"/>
            <w:gridSpan w:val="10"/>
          </w:tcPr>
          <w:p w:rsidR="00C856A0" w:rsidRDefault="00C856A0" w:rsidP="00C856A0">
            <w:pPr>
              <w:jc w:val="center"/>
            </w:pPr>
            <w:r>
              <w:t>Concentration (mg L</w:t>
            </w:r>
            <w:r w:rsidRPr="0044554E">
              <w:rPr>
                <w:vertAlign w:val="superscript"/>
              </w:rPr>
              <w:t>-1</w:t>
            </w:r>
            <w:r>
              <w:t>)</w:t>
            </w:r>
          </w:p>
        </w:tc>
      </w:tr>
      <w:tr w:rsidR="00C856A0">
        <w:tc>
          <w:tcPr>
            <w:tcW w:w="687" w:type="dxa"/>
          </w:tcPr>
          <w:p w:rsidR="00C856A0" w:rsidRDefault="00C856A0" w:rsidP="00C856A0">
            <w:pPr>
              <w:jc w:val="center"/>
            </w:pPr>
            <w:r>
              <w:t>River</w:t>
            </w:r>
          </w:p>
        </w:tc>
        <w:tc>
          <w:tcPr>
            <w:tcW w:w="885" w:type="dxa"/>
          </w:tcPr>
          <w:p w:rsidR="00C856A0" w:rsidRDefault="00C856A0" w:rsidP="00C856A0">
            <w:pPr>
              <w:jc w:val="center"/>
            </w:pPr>
            <w:r>
              <w:t>Ca</w:t>
            </w:r>
            <w:r w:rsidRPr="0044554E">
              <w:rPr>
                <w:vertAlign w:val="superscript"/>
              </w:rPr>
              <w:t>2+</w:t>
            </w:r>
          </w:p>
        </w:tc>
        <w:tc>
          <w:tcPr>
            <w:tcW w:w="885" w:type="dxa"/>
          </w:tcPr>
          <w:p w:rsidR="00C856A0" w:rsidRDefault="00C856A0" w:rsidP="00C856A0">
            <w:pPr>
              <w:jc w:val="center"/>
            </w:pPr>
            <w:r>
              <w:t>Mg</w:t>
            </w:r>
            <w:r w:rsidRPr="0044554E">
              <w:rPr>
                <w:vertAlign w:val="superscript"/>
              </w:rPr>
              <w:t>2+</w:t>
            </w:r>
          </w:p>
        </w:tc>
        <w:tc>
          <w:tcPr>
            <w:tcW w:w="885" w:type="dxa"/>
          </w:tcPr>
          <w:p w:rsidR="00C856A0" w:rsidRDefault="00C856A0" w:rsidP="00C856A0">
            <w:pPr>
              <w:jc w:val="center"/>
            </w:pPr>
            <w:r>
              <w:t>Na</w:t>
            </w:r>
            <w:r w:rsidRPr="0044554E">
              <w:rPr>
                <w:vertAlign w:val="superscript"/>
              </w:rPr>
              <w:t>+</w:t>
            </w:r>
          </w:p>
        </w:tc>
        <w:tc>
          <w:tcPr>
            <w:tcW w:w="886" w:type="dxa"/>
          </w:tcPr>
          <w:p w:rsidR="00C856A0" w:rsidRDefault="00C856A0" w:rsidP="00C856A0">
            <w:pPr>
              <w:jc w:val="center"/>
            </w:pPr>
            <w:r>
              <w:t>K</w:t>
            </w:r>
            <w:r w:rsidRPr="0044554E">
              <w:rPr>
                <w:vertAlign w:val="superscript"/>
              </w:rPr>
              <w:t>+</w:t>
            </w:r>
          </w:p>
        </w:tc>
        <w:tc>
          <w:tcPr>
            <w:tcW w:w="886" w:type="dxa"/>
          </w:tcPr>
          <w:p w:rsidR="00C856A0" w:rsidRDefault="00C856A0" w:rsidP="00C856A0">
            <w:pPr>
              <w:jc w:val="center"/>
            </w:pPr>
            <w:r>
              <w:t>Cl</w:t>
            </w:r>
            <w:r w:rsidRPr="0044554E">
              <w:rPr>
                <w:vertAlign w:val="superscript"/>
              </w:rPr>
              <w:t>-</w:t>
            </w:r>
          </w:p>
        </w:tc>
        <w:tc>
          <w:tcPr>
            <w:tcW w:w="886" w:type="dxa"/>
          </w:tcPr>
          <w:p w:rsidR="00C856A0" w:rsidRDefault="00C856A0" w:rsidP="00C856A0">
            <w:pPr>
              <w:jc w:val="center"/>
            </w:pPr>
            <w:r>
              <w:t>SO</w:t>
            </w:r>
            <w:r w:rsidRPr="0044554E">
              <w:rPr>
                <w:vertAlign w:val="subscript"/>
              </w:rPr>
              <w:t>4</w:t>
            </w:r>
            <w:r w:rsidRPr="0044554E">
              <w:rPr>
                <w:vertAlign w:val="superscript"/>
              </w:rPr>
              <w:t>2-</w:t>
            </w:r>
          </w:p>
        </w:tc>
        <w:tc>
          <w:tcPr>
            <w:tcW w:w="886" w:type="dxa"/>
          </w:tcPr>
          <w:p w:rsidR="00C856A0" w:rsidRDefault="00C856A0" w:rsidP="00C856A0">
            <w:pPr>
              <w:jc w:val="center"/>
            </w:pPr>
            <w:r>
              <w:t>HCO</w:t>
            </w:r>
            <w:r w:rsidRPr="0044554E">
              <w:rPr>
                <w:vertAlign w:val="subscript"/>
              </w:rPr>
              <w:t>3</w:t>
            </w:r>
            <w:r w:rsidRPr="0044554E">
              <w:rPr>
                <w:vertAlign w:val="superscript"/>
              </w:rPr>
              <w:t>-</w:t>
            </w:r>
          </w:p>
        </w:tc>
        <w:tc>
          <w:tcPr>
            <w:tcW w:w="886" w:type="dxa"/>
          </w:tcPr>
          <w:p w:rsidR="00C856A0" w:rsidRDefault="00C856A0" w:rsidP="00C856A0">
            <w:pPr>
              <w:jc w:val="center"/>
            </w:pPr>
            <w:r>
              <w:t>SiO</w:t>
            </w:r>
            <w:r w:rsidRPr="0044554E">
              <w:rPr>
                <w:vertAlign w:val="subscript"/>
              </w:rPr>
              <w:t>2</w:t>
            </w:r>
          </w:p>
        </w:tc>
        <w:tc>
          <w:tcPr>
            <w:tcW w:w="886" w:type="dxa"/>
          </w:tcPr>
          <w:p w:rsidR="00C856A0" w:rsidRDefault="00C856A0" w:rsidP="00C856A0">
            <w:pPr>
              <w:jc w:val="center"/>
            </w:pPr>
            <w:r>
              <w:t>TDS</w:t>
            </w:r>
          </w:p>
        </w:tc>
      </w:tr>
      <w:tr w:rsidR="00C856A0">
        <w:tc>
          <w:tcPr>
            <w:tcW w:w="687" w:type="dxa"/>
          </w:tcPr>
          <w:p w:rsidR="00C856A0" w:rsidRDefault="00C856A0" w:rsidP="00C856A0">
            <w:pPr>
              <w:jc w:val="center"/>
            </w:pPr>
            <w:r>
              <w:t>1</w:t>
            </w:r>
          </w:p>
        </w:tc>
        <w:tc>
          <w:tcPr>
            <w:tcW w:w="885" w:type="dxa"/>
          </w:tcPr>
          <w:p w:rsidR="00C856A0" w:rsidRDefault="00C856A0" w:rsidP="00C856A0">
            <w:pPr>
              <w:jc w:val="center"/>
            </w:pPr>
            <w:r>
              <w:t>207</w:t>
            </w:r>
          </w:p>
        </w:tc>
        <w:tc>
          <w:tcPr>
            <w:tcW w:w="885" w:type="dxa"/>
          </w:tcPr>
          <w:p w:rsidR="00C856A0" w:rsidRDefault="00C856A0" w:rsidP="00C856A0">
            <w:pPr>
              <w:jc w:val="center"/>
            </w:pPr>
            <w:r>
              <w:t>55</w:t>
            </w:r>
          </w:p>
        </w:tc>
        <w:tc>
          <w:tcPr>
            <w:tcW w:w="885" w:type="dxa"/>
          </w:tcPr>
          <w:p w:rsidR="00C856A0" w:rsidRDefault="00C856A0" w:rsidP="00C856A0">
            <w:pPr>
              <w:jc w:val="center"/>
            </w:pPr>
            <w:r>
              <w:t>310</w:t>
            </w:r>
          </w:p>
        </w:tc>
        <w:tc>
          <w:tcPr>
            <w:tcW w:w="886" w:type="dxa"/>
          </w:tcPr>
          <w:p w:rsidR="00C856A0" w:rsidRDefault="00C856A0" w:rsidP="00C856A0">
            <w:pPr>
              <w:jc w:val="center"/>
            </w:pPr>
            <w:r>
              <w:t>15</w:t>
            </w:r>
          </w:p>
        </w:tc>
        <w:tc>
          <w:tcPr>
            <w:tcW w:w="886" w:type="dxa"/>
          </w:tcPr>
          <w:p w:rsidR="00C856A0" w:rsidRDefault="00C856A0" w:rsidP="00C856A0">
            <w:pPr>
              <w:jc w:val="center"/>
            </w:pPr>
            <w:r>
              <w:t>401</w:t>
            </w:r>
          </w:p>
        </w:tc>
        <w:tc>
          <w:tcPr>
            <w:tcW w:w="886" w:type="dxa"/>
          </w:tcPr>
          <w:p w:rsidR="00C856A0" w:rsidRDefault="00C856A0" w:rsidP="00C856A0">
            <w:pPr>
              <w:jc w:val="center"/>
            </w:pPr>
            <w:r>
              <w:t>544</w:t>
            </w:r>
          </w:p>
        </w:tc>
        <w:tc>
          <w:tcPr>
            <w:tcW w:w="886" w:type="dxa"/>
          </w:tcPr>
          <w:p w:rsidR="00C856A0" w:rsidRDefault="00C856A0" w:rsidP="00C856A0">
            <w:pPr>
              <w:jc w:val="center"/>
            </w:pPr>
            <w:r>
              <w:t>409</w:t>
            </w:r>
          </w:p>
        </w:tc>
        <w:tc>
          <w:tcPr>
            <w:tcW w:w="886" w:type="dxa"/>
          </w:tcPr>
          <w:p w:rsidR="00C856A0" w:rsidRDefault="00C856A0" w:rsidP="00C856A0">
            <w:pPr>
              <w:jc w:val="center"/>
            </w:pPr>
            <w:r>
              <w:t>69</w:t>
            </w:r>
          </w:p>
        </w:tc>
        <w:tc>
          <w:tcPr>
            <w:tcW w:w="886" w:type="dxa"/>
          </w:tcPr>
          <w:p w:rsidR="00C856A0" w:rsidRDefault="00C856A0" w:rsidP="00C856A0">
            <w:pPr>
              <w:jc w:val="center"/>
            </w:pPr>
            <w:r>
              <w:t>2015</w:t>
            </w:r>
          </w:p>
        </w:tc>
      </w:tr>
      <w:tr w:rsidR="00C856A0">
        <w:tc>
          <w:tcPr>
            <w:tcW w:w="687" w:type="dxa"/>
          </w:tcPr>
          <w:p w:rsidR="00C856A0" w:rsidRDefault="00C856A0" w:rsidP="00C856A0">
            <w:pPr>
              <w:jc w:val="center"/>
            </w:pPr>
            <w:r>
              <w:t>2</w:t>
            </w:r>
          </w:p>
        </w:tc>
        <w:tc>
          <w:tcPr>
            <w:tcW w:w="885" w:type="dxa"/>
          </w:tcPr>
          <w:p w:rsidR="00C856A0" w:rsidRDefault="00C856A0" w:rsidP="00C856A0">
            <w:pPr>
              <w:jc w:val="center"/>
            </w:pPr>
            <w:r>
              <w:t>33</w:t>
            </w:r>
          </w:p>
        </w:tc>
        <w:tc>
          <w:tcPr>
            <w:tcW w:w="885" w:type="dxa"/>
          </w:tcPr>
          <w:p w:rsidR="00C856A0" w:rsidRDefault="00C856A0" w:rsidP="00C856A0">
            <w:pPr>
              <w:jc w:val="center"/>
            </w:pPr>
            <w:r>
              <w:t>10.4</w:t>
            </w:r>
          </w:p>
        </w:tc>
        <w:tc>
          <w:tcPr>
            <w:tcW w:w="885" w:type="dxa"/>
          </w:tcPr>
          <w:p w:rsidR="00C856A0" w:rsidRDefault="00C856A0" w:rsidP="00C856A0">
            <w:pPr>
              <w:jc w:val="center"/>
            </w:pPr>
            <w:r>
              <w:t>7.0</w:t>
            </w:r>
          </w:p>
        </w:tc>
        <w:tc>
          <w:tcPr>
            <w:tcW w:w="886" w:type="dxa"/>
          </w:tcPr>
          <w:p w:rsidR="00C856A0" w:rsidRDefault="00C856A0" w:rsidP="00C856A0">
            <w:pPr>
              <w:jc w:val="center"/>
            </w:pPr>
            <w:r>
              <w:t>1.1</w:t>
            </w:r>
          </w:p>
        </w:tc>
        <w:tc>
          <w:tcPr>
            <w:tcW w:w="886" w:type="dxa"/>
          </w:tcPr>
          <w:p w:rsidR="00C856A0" w:rsidRDefault="00C856A0" w:rsidP="00C856A0">
            <w:pPr>
              <w:jc w:val="center"/>
            </w:pPr>
            <w:r>
              <w:t>8.9</w:t>
            </w:r>
          </w:p>
        </w:tc>
        <w:tc>
          <w:tcPr>
            <w:tcW w:w="886" w:type="dxa"/>
          </w:tcPr>
          <w:p w:rsidR="00C856A0" w:rsidRDefault="00C856A0" w:rsidP="00C856A0">
            <w:pPr>
              <w:jc w:val="center"/>
            </w:pPr>
            <w:r>
              <w:t>36.1</w:t>
            </w:r>
          </w:p>
        </w:tc>
        <w:tc>
          <w:tcPr>
            <w:tcW w:w="886" w:type="dxa"/>
          </w:tcPr>
          <w:p w:rsidR="00C856A0" w:rsidRDefault="00C856A0" w:rsidP="00C856A0">
            <w:pPr>
              <w:jc w:val="center"/>
            </w:pPr>
            <w:r>
              <w:t>111</w:t>
            </w:r>
          </w:p>
        </w:tc>
        <w:tc>
          <w:tcPr>
            <w:tcW w:w="886" w:type="dxa"/>
          </w:tcPr>
          <w:p w:rsidR="00C856A0" w:rsidRDefault="00C856A0" w:rsidP="00C856A0">
            <w:pPr>
              <w:jc w:val="center"/>
            </w:pPr>
            <w:r>
              <w:t>3.0</w:t>
            </w:r>
          </w:p>
        </w:tc>
        <w:tc>
          <w:tcPr>
            <w:tcW w:w="886" w:type="dxa"/>
          </w:tcPr>
          <w:p w:rsidR="00C856A0" w:rsidRDefault="00C856A0" w:rsidP="00C856A0">
            <w:pPr>
              <w:jc w:val="center"/>
            </w:pPr>
            <w:r>
              <w:t>211</w:t>
            </w:r>
          </w:p>
        </w:tc>
      </w:tr>
      <w:tr w:rsidR="00C856A0">
        <w:tc>
          <w:tcPr>
            <w:tcW w:w="687" w:type="dxa"/>
          </w:tcPr>
          <w:p w:rsidR="00C856A0" w:rsidRDefault="00C856A0" w:rsidP="00C856A0">
            <w:pPr>
              <w:jc w:val="center"/>
            </w:pPr>
            <w:r>
              <w:t>3</w:t>
            </w:r>
          </w:p>
        </w:tc>
        <w:tc>
          <w:tcPr>
            <w:tcW w:w="885" w:type="dxa"/>
          </w:tcPr>
          <w:p w:rsidR="00C856A0" w:rsidRDefault="00C856A0" w:rsidP="00C856A0">
            <w:pPr>
              <w:jc w:val="center"/>
            </w:pPr>
            <w:r>
              <w:t>0.2</w:t>
            </w:r>
          </w:p>
        </w:tc>
        <w:tc>
          <w:tcPr>
            <w:tcW w:w="885" w:type="dxa"/>
          </w:tcPr>
          <w:p w:rsidR="00C856A0" w:rsidRDefault="00C856A0" w:rsidP="00C856A0">
            <w:pPr>
              <w:jc w:val="center"/>
            </w:pPr>
            <w:r>
              <w:t>0.1</w:t>
            </w:r>
          </w:p>
        </w:tc>
        <w:tc>
          <w:tcPr>
            <w:tcW w:w="885" w:type="dxa"/>
          </w:tcPr>
          <w:p w:rsidR="00C856A0" w:rsidRDefault="00C856A0" w:rsidP="00C856A0">
            <w:pPr>
              <w:jc w:val="center"/>
            </w:pPr>
            <w:r>
              <w:t>0.4</w:t>
            </w:r>
          </w:p>
        </w:tc>
        <w:tc>
          <w:tcPr>
            <w:tcW w:w="886" w:type="dxa"/>
          </w:tcPr>
          <w:p w:rsidR="00C856A0" w:rsidRDefault="00C856A0" w:rsidP="00C856A0">
            <w:pPr>
              <w:jc w:val="center"/>
            </w:pPr>
            <w:r>
              <w:t>0.3</w:t>
            </w:r>
          </w:p>
        </w:tc>
        <w:tc>
          <w:tcPr>
            <w:tcW w:w="886" w:type="dxa"/>
          </w:tcPr>
          <w:p w:rsidR="00C856A0" w:rsidRDefault="00C856A0" w:rsidP="00C856A0">
            <w:pPr>
              <w:jc w:val="center"/>
            </w:pPr>
            <w:r>
              <w:t>0.3</w:t>
            </w:r>
          </w:p>
        </w:tc>
        <w:tc>
          <w:tcPr>
            <w:tcW w:w="886" w:type="dxa"/>
          </w:tcPr>
          <w:p w:rsidR="00C856A0" w:rsidRDefault="00C856A0" w:rsidP="00C856A0">
            <w:pPr>
              <w:jc w:val="center"/>
            </w:pPr>
            <w:r>
              <w:t>0.2</w:t>
            </w:r>
          </w:p>
        </w:tc>
        <w:tc>
          <w:tcPr>
            <w:tcW w:w="886" w:type="dxa"/>
          </w:tcPr>
          <w:p w:rsidR="00C856A0" w:rsidRDefault="00C856A0" w:rsidP="00C856A0">
            <w:pPr>
              <w:jc w:val="center"/>
            </w:pPr>
            <w:r>
              <w:t>0.7</w:t>
            </w:r>
          </w:p>
        </w:tc>
        <w:tc>
          <w:tcPr>
            <w:tcW w:w="886" w:type="dxa"/>
          </w:tcPr>
          <w:p w:rsidR="00C856A0" w:rsidRDefault="00C856A0" w:rsidP="00C856A0">
            <w:pPr>
              <w:jc w:val="center"/>
            </w:pPr>
            <w:r>
              <w:t>4.1</w:t>
            </w:r>
          </w:p>
        </w:tc>
        <w:tc>
          <w:tcPr>
            <w:tcW w:w="886" w:type="dxa"/>
          </w:tcPr>
          <w:p w:rsidR="00C856A0" w:rsidRDefault="00C856A0" w:rsidP="00C856A0">
            <w:pPr>
              <w:jc w:val="center"/>
            </w:pPr>
            <w:r>
              <w:t>6.3</w:t>
            </w:r>
          </w:p>
        </w:tc>
      </w:tr>
    </w:tbl>
    <w:p w:rsidR="00C856A0" w:rsidRPr="00EE219E" w:rsidRDefault="00C856A0" w:rsidP="00C856A0">
      <w:pPr>
        <w:rPr>
          <w:sz w:val="8"/>
        </w:rPr>
      </w:pPr>
    </w:p>
    <w:p w:rsidR="00C856A0" w:rsidRDefault="00C856A0" w:rsidP="00C856A0">
      <w:pPr>
        <w:numPr>
          <w:ilvl w:val="0"/>
          <w:numId w:val="5"/>
        </w:numPr>
        <w:tabs>
          <w:tab w:val="clear" w:pos="720"/>
        </w:tabs>
      </w:pPr>
      <w:r>
        <w:t xml:space="preserve">Plot the data for the three rivers on the Gibbs </w:t>
      </w:r>
      <w:proofErr w:type="gramStart"/>
      <w:r>
        <w:t>diagram,</w:t>
      </w:r>
      <w:proofErr w:type="gramEnd"/>
      <w:r>
        <w:t xml:space="preserve"> include this plot with your write up.</w:t>
      </w:r>
    </w:p>
    <w:p w:rsidR="00C856A0" w:rsidRDefault="00C856A0" w:rsidP="00C856A0">
      <w:pPr>
        <w:numPr>
          <w:ilvl w:val="0"/>
          <w:numId w:val="5"/>
        </w:numPr>
        <w:tabs>
          <w:tab w:val="clear" w:pos="720"/>
        </w:tabs>
      </w:pPr>
      <w:r>
        <w:t>Classify these three rivers according to the Gibbs scheme, i.e., evaporation-crystallization, rock, or precipitation dominance</w:t>
      </w:r>
    </w:p>
    <w:p w:rsidR="00C856A0" w:rsidRDefault="00C856A0" w:rsidP="00C856A0">
      <w:pPr>
        <w:ind w:left="360"/>
      </w:pPr>
    </w:p>
    <w:p w:rsidR="0059780B" w:rsidRPr="00DA6BB9" w:rsidRDefault="00C856A0" w:rsidP="009422ED">
      <w:pPr>
        <w:pStyle w:val="ColorfulList-Accent11"/>
        <w:numPr>
          <w:ilvl w:val="0"/>
          <w:numId w:val="9"/>
        </w:numPr>
        <w:tabs>
          <w:tab w:val="left" w:pos="0"/>
        </w:tabs>
        <w:rPr>
          <w:color w:val="000000"/>
          <w:szCs w:val="27"/>
        </w:rPr>
      </w:pPr>
      <w:r>
        <w:t>Water entering a lake contains 2.0 mg Ni L</w:t>
      </w:r>
      <w:r w:rsidRPr="00321F06">
        <w:rPr>
          <w:vertAlign w:val="superscript"/>
        </w:rPr>
        <w:t>-1</w:t>
      </w:r>
      <w:r>
        <w:t xml:space="preserve">. The total inflow is </w:t>
      </w:r>
      <w:proofErr w:type="gramStart"/>
      <w:r>
        <w:t>200 m</w:t>
      </w:r>
      <w:r w:rsidRPr="00321F06">
        <w:rPr>
          <w:vertAlign w:val="superscript"/>
        </w:rPr>
        <w:t>3</w:t>
      </w:r>
      <w:r>
        <w:t xml:space="preserve"> s</w:t>
      </w:r>
      <w:r w:rsidRPr="00321F06">
        <w:rPr>
          <w:vertAlign w:val="superscript"/>
        </w:rPr>
        <w:t>-1</w:t>
      </w:r>
      <w:proofErr w:type="gramEnd"/>
      <w:r>
        <w:t xml:space="preserve">. The total outflow from the lake is </w:t>
      </w:r>
      <w:proofErr w:type="gramStart"/>
      <w:r>
        <w:t>170 m</w:t>
      </w:r>
      <w:r w:rsidRPr="00321F06">
        <w:rPr>
          <w:vertAlign w:val="superscript"/>
        </w:rPr>
        <w:t>3</w:t>
      </w:r>
      <w:r>
        <w:t xml:space="preserve"> s</w:t>
      </w:r>
      <w:r w:rsidRPr="00321F06">
        <w:rPr>
          <w:vertAlign w:val="superscript"/>
        </w:rPr>
        <w:t>-1</w:t>
      </w:r>
      <w:proofErr w:type="gramEnd"/>
      <w:r>
        <w:t xml:space="preserve"> and the outflow water contains 1.5 mg Ni L</w:t>
      </w:r>
      <w:r w:rsidRPr="00321F06">
        <w:rPr>
          <w:vertAlign w:val="superscript"/>
        </w:rPr>
        <w:t>-1</w:t>
      </w:r>
      <w:r>
        <w:t>. The lake is located in an arid area and evaporation exceeds precipitation. Hence, water inflow is greater than water outflow. The lake is in steady state with respect to both its water volume and nickel content. Calculate the rate at which nickel is stored in the lake sediments.</w:t>
      </w:r>
      <w:r w:rsidR="0059780B">
        <w:t xml:space="preserve"> </w:t>
      </w:r>
    </w:p>
    <w:p w:rsidR="00C856A0" w:rsidDel="00BE0A6B" w:rsidRDefault="00C856A0" w:rsidP="00C856A0"/>
    <w:p w:rsidR="0059780B" w:rsidRPr="00DA6BB9" w:rsidRDefault="00C04309" w:rsidP="009422ED">
      <w:pPr>
        <w:pStyle w:val="ColorfulList-Accent11"/>
        <w:numPr>
          <w:ilvl w:val="0"/>
          <w:numId w:val="9"/>
        </w:numPr>
        <w:tabs>
          <w:tab w:val="left" w:pos="0"/>
        </w:tabs>
        <w:rPr>
          <w:color w:val="000000"/>
          <w:szCs w:val="27"/>
        </w:rPr>
      </w:pPr>
      <w:r>
        <w:lastRenderedPageBreak/>
        <w:t xml:space="preserve">Explain the </w:t>
      </w:r>
      <w:r w:rsidR="0059780B">
        <w:t xml:space="preserve">seasonal cycle of water column stratification in a </w:t>
      </w:r>
      <w:proofErr w:type="spellStart"/>
      <w:r w:rsidR="0059780B">
        <w:t>dimictic</w:t>
      </w:r>
      <w:proofErr w:type="spellEnd"/>
      <w:r w:rsidR="0059780B">
        <w:t xml:space="preserve"> lake. What are the major differences in pH, nutrient concentration, </w:t>
      </w:r>
      <w:proofErr w:type="gramStart"/>
      <w:r w:rsidR="0059780B">
        <w:t>redox</w:t>
      </w:r>
      <w:proofErr w:type="gramEnd"/>
      <w:r w:rsidR="0059780B">
        <w:t xml:space="preserve"> potential between </w:t>
      </w:r>
      <w:proofErr w:type="spellStart"/>
      <w:r w:rsidR="0059780B">
        <w:t>epilimnion</w:t>
      </w:r>
      <w:proofErr w:type="spellEnd"/>
      <w:r w:rsidR="0059780B">
        <w:t xml:space="preserve"> and </w:t>
      </w:r>
      <w:proofErr w:type="spellStart"/>
      <w:r w:rsidR="0059780B">
        <w:t>hypolimnion</w:t>
      </w:r>
      <w:proofErr w:type="spellEnd"/>
      <w:r w:rsidR="0059780B">
        <w:t xml:space="preserve"> in a highly stratified lake during mid-summer. </w:t>
      </w:r>
    </w:p>
    <w:p w:rsidR="00C04309" w:rsidRDefault="00C04309" w:rsidP="00C04309">
      <w:pPr>
        <w:pStyle w:val="ListParagraph"/>
      </w:pPr>
    </w:p>
    <w:p w:rsidR="00C856A0" w:rsidRDefault="00C856A0" w:rsidP="009422ED">
      <w:pPr>
        <w:pStyle w:val="ListParagraph"/>
        <w:numPr>
          <w:ilvl w:val="0"/>
          <w:numId w:val="9"/>
        </w:numPr>
      </w:pPr>
      <w:r>
        <w:t>a.</w:t>
      </w:r>
      <w:r>
        <w:tab/>
        <w:t>List the natural conditions that favor the formation of saline lakes (instead of freshwater lakes).</w:t>
      </w:r>
    </w:p>
    <w:p w:rsidR="00C856A0" w:rsidRDefault="00C856A0" w:rsidP="00C856A0">
      <w:pPr>
        <w:numPr>
          <w:ilvl w:val="0"/>
          <w:numId w:val="7"/>
        </w:numPr>
      </w:pPr>
      <w:r>
        <w:t>Why do some saline lakes have exceptionally high pH (such as Mono Lake in California, with a pH of 10)?</w:t>
      </w:r>
    </w:p>
    <w:p w:rsidR="00C856A0" w:rsidRDefault="00C856A0" w:rsidP="00C856A0">
      <w:pPr>
        <w:numPr>
          <w:ilvl w:val="0"/>
          <w:numId w:val="7"/>
        </w:numPr>
      </w:pPr>
      <w:r>
        <w:t>How does the major ion chemistry in lakes with high pH differ from acidic fresh water lakes in terms of SO</w:t>
      </w:r>
      <w:r w:rsidRPr="00517715">
        <w:rPr>
          <w:vertAlign w:val="subscript"/>
        </w:rPr>
        <w:t>4</w:t>
      </w:r>
      <w:r w:rsidRPr="00517715">
        <w:rPr>
          <w:vertAlign w:val="superscript"/>
        </w:rPr>
        <w:t>2-</w:t>
      </w:r>
      <w:r>
        <w:t>, Al</w:t>
      </w:r>
      <w:r w:rsidRPr="00517715">
        <w:rPr>
          <w:vertAlign w:val="superscript"/>
        </w:rPr>
        <w:t>3+</w:t>
      </w:r>
      <w:r>
        <w:t>, Na</w:t>
      </w:r>
      <w:r w:rsidRPr="00916B4F">
        <w:rPr>
          <w:vertAlign w:val="superscript"/>
        </w:rPr>
        <w:t>+</w:t>
      </w:r>
      <w:r>
        <w:t>, K</w:t>
      </w:r>
      <w:r w:rsidRPr="00916B4F">
        <w:rPr>
          <w:vertAlign w:val="superscript"/>
        </w:rPr>
        <w:t>+</w:t>
      </w:r>
      <w:r>
        <w:t>, Mg</w:t>
      </w:r>
      <w:r w:rsidRPr="00916B4F">
        <w:rPr>
          <w:vertAlign w:val="superscript"/>
        </w:rPr>
        <w:t>2+</w:t>
      </w:r>
      <w:r>
        <w:t xml:space="preserve"> and Ca</w:t>
      </w:r>
      <w:r w:rsidRPr="00916B4F">
        <w:rPr>
          <w:vertAlign w:val="superscript"/>
        </w:rPr>
        <w:t>2+</w:t>
      </w:r>
      <w:r>
        <w:t>? Briefly explain why this is the case for each ion.</w:t>
      </w:r>
    </w:p>
    <w:sectPr w:rsidR="00C856A0" w:rsidSect="00C8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CB6"/>
    <w:multiLevelType w:val="hybridMultilevel"/>
    <w:tmpl w:val="7A6CE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B65BC"/>
    <w:multiLevelType w:val="hybridMultilevel"/>
    <w:tmpl w:val="FE280E5A"/>
    <w:lvl w:ilvl="0" w:tplc="0409000F">
      <w:start w:val="1"/>
      <w:numFmt w:val="decimal"/>
      <w:lvlText w:val="%1."/>
      <w:lvlJc w:val="left"/>
      <w:pPr>
        <w:tabs>
          <w:tab w:val="num" w:pos="720"/>
        </w:tabs>
        <w:ind w:left="720" w:hanging="360"/>
      </w:pPr>
      <w:rPr>
        <w:rFonts w:hint="default"/>
      </w:rPr>
    </w:lvl>
    <w:lvl w:ilvl="1" w:tplc="A074EE0C">
      <w:start w:val="1"/>
      <w:numFmt w:val="lowerLetter"/>
      <w:lvlText w:val="(%2)"/>
      <w:lvlJc w:val="left"/>
      <w:pPr>
        <w:tabs>
          <w:tab w:val="num" w:pos="1440"/>
        </w:tabs>
        <w:ind w:left="1440" w:hanging="360"/>
      </w:pPr>
      <w:rPr>
        <w:rFonts w:hint="default"/>
      </w:rPr>
    </w:lvl>
    <w:lvl w:ilvl="2" w:tplc="D8ACCBC6">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0F0714"/>
    <w:multiLevelType w:val="hybridMultilevel"/>
    <w:tmpl w:val="308819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7707283"/>
    <w:multiLevelType w:val="hybridMultilevel"/>
    <w:tmpl w:val="C2F245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6C70E2"/>
    <w:multiLevelType w:val="hybridMultilevel"/>
    <w:tmpl w:val="679E972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7DC0316"/>
    <w:multiLevelType w:val="hybridMultilevel"/>
    <w:tmpl w:val="22986A62"/>
    <w:lvl w:ilvl="0" w:tplc="0409000F">
      <w:start w:val="2"/>
      <w:numFmt w:val="lowerLetter"/>
      <w:lvlText w:val="%1."/>
      <w:lvlJc w:val="left"/>
      <w:pPr>
        <w:tabs>
          <w:tab w:val="num" w:pos="720"/>
        </w:tabs>
        <w:ind w:left="720" w:hanging="360"/>
      </w:pPr>
      <w:rPr>
        <w:rFonts w:hint="default"/>
      </w:rPr>
    </w:lvl>
    <w:lvl w:ilvl="1" w:tplc="B26E95D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EBF1BF9"/>
    <w:multiLevelType w:val="hybridMultilevel"/>
    <w:tmpl w:val="22986A62"/>
    <w:lvl w:ilvl="0" w:tplc="0409000F">
      <w:start w:val="2"/>
      <w:numFmt w:val="decimal"/>
      <w:lvlText w:val="%1."/>
      <w:lvlJc w:val="left"/>
      <w:pPr>
        <w:tabs>
          <w:tab w:val="num" w:pos="720"/>
        </w:tabs>
        <w:ind w:left="720" w:hanging="360"/>
      </w:pPr>
      <w:rPr>
        <w:rFonts w:hint="default"/>
      </w:rPr>
    </w:lvl>
    <w:lvl w:ilvl="1" w:tplc="B26E95D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C01362"/>
    <w:multiLevelType w:val="hybridMultilevel"/>
    <w:tmpl w:val="A57875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F483ABC"/>
    <w:multiLevelType w:val="multilevel"/>
    <w:tmpl w:val="7A6CE4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4"/>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B3"/>
    <w:rsid w:val="00002C3B"/>
    <w:rsid w:val="000B058B"/>
    <w:rsid w:val="001B1E7B"/>
    <w:rsid w:val="002F449C"/>
    <w:rsid w:val="00367E11"/>
    <w:rsid w:val="004002EA"/>
    <w:rsid w:val="004636DD"/>
    <w:rsid w:val="00562D6E"/>
    <w:rsid w:val="0059780B"/>
    <w:rsid w:val="009422ED"/>
    <w:rsid w:val="00B51DB3"/>
    <w:rsid w:val="00C04309"/>
    <w:rsid w:val="00C856A0"/>
    <w:rsid w:val="00CB4788"/>
    <w:rsid w:val="00EA1029"/>
    <w:rsid w:val="00F749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F39BE"/>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13CC"/>
    <w:rPr>
      <w:rFonts w:ascii="Lucida Grande" w:hAnsi="Lucida Grande"/>
      <w:sz w:val="18"/>
      <w:szCs w:val="18"/>
    </w:rPr>
  </w:style>
  <w:style w:type="character" w:customStyle="1" w:styleId="BalloonTextChar">
    <w:name w:val="Balloon Text Char"/>
    <w:basedOn w:val="DefaultParagraphFont"/>
    <w:link w:val="BalloonText"/>
    <w:rsid w:val="000C13CC"/>
    <w:rPr>
      <w:rFonts w:ascii="Lucida Grande" w:hAnsi="Lucida Grande"/>
      <w:sz w:val="18"/>
      <w:szCs w:val="18"/>
      <w:lang w:eastAsia="zh-CN"/>
    </w:rPr>
  </w:style>
  <w:style w:type="paragraph" w:customStyle="1" w:styleId="ColorfulList-Accent11">
    <w:name w:val="Colorful List - Accent 11"/>
    <w:basedOn w:val="Normal"/>
    <w:qFormat/>
    <w:rsid w:val="00BE0A6B"/>
    <w:pPr>
      <w:ind w:left="720"/>
      <w:contextualSpacing/>
    </w:pPr>
    <w:rPr>
      <w:rFonts w:ascii="Cambria" w:eastAsia="Cambria" w:hAnsi="Cambria"/>
      <w:lang w:eastAsia="en-US"/>
    </w:rPr>
  </w:style>
  <w:style w:type="paragraph" w:styleId="ListParagraph">
    <w:name w:val="List Paragraph"/>
    <w:basedOn w:val="Normal"/>
    <w:uiPriority w:val="72"/>
    <w:qFormat/>
    <w:rsid w:val="00C04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F39BE"/>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13CC"/>
    <w:rPr>
      <w:rFonts w:ascii="Lucida Grande" w:hAnsi="Lucida Grande"/>
      <w:sz w:val="18"/>
      <w:szCs w:val="18"/>
    </w:rPr>
  </w:style>
  <w:style w:type="character" w:customStyle="1" w:styleId="BalloonTextChar">
    <w:name w:val="Balloon Text Char"/>
    <w:basedOn w:val="DefaultParagraphFont"/>
    <w:link w:val="BalloonText"/>
    <w:rsid w:val="000C13CC"/>
    <w:rPr>
      <w:rFonts w:ascii="Lucida Grande" w:hAnsi="Lucida Grande"/>
      <w:sz w:val="18"/>
      <w:szCs w:val="18"/>
      <w:lang w:eastAsia="zh-CN"/>
    </w:rPr>
  </w:style>
  <w:style w:type="paragraph" w:customStyle="1" w:styleId="ColorfulList-Accent11">
    <w:name w:val="Colorful List - Accent 11"/>
    <w:basedOn w:val="Normal"/>
    <w:qFormat/>
    <w:rsid w:val="00BE0A6B"/>
    <w:pPr>
      <w:ind w:left="720"/>
      <w:contextualSpacing/>
    </w:pPr>
    <w:rPr>
      <w:rFonts w:ascii="Cambria" w:eastAsia="Cambria" w:hAnsi="Cambria"/>
      <w:lang w:eastAsia="en-US"/>
    </w:rPr>
  </w:style>
  <w:style w:type="paragraph" w:styleId="ListParagraph">
    <w:name w:val="List Paragraph"/>
    <w:basedOn w:val="Normal"/>
    <w:uiPriority w:val="72"/>
    <w:qFormat/>
    <w:rsid w:val="00C04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Problem set 6 (Due Oct</vt:lpstr>
    </vt:vector>
  </TitlesOfParts>
  <Company>Brown University</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(Due Oct</dc:title>
  <dc:creator>Geological Sciences</dc:creator>
  <cp:lastModifiedBy>yhuang</cp:lastModifiedBy>
  <cp:revision>6</cp:revision>
  <dcterms:created xsi:type="dcterms:W3CDTF">2014-11-12T19:08:00Z</dcterms:created>
  <dcterms:modified xsi:type="dcterms:W3CDTF">2014-11-13T13:10:00Z</dcterms:modified>
</cp:coreProperties>
</file>