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2B4C"/>
          <w:sz w:val="60"/>
        </w:rPr>
        <w:t>DE Global Partners</w:t>
      </w:r>
    </w:p>
    <w:p>
      <w:pPr>
        <w:jc w:val="center"/>
      </w:pPr>
      <w:r>
        <w:rPr>
          <w:color w:val="0E63B0"/>
          <w:sz w:val="32"/>
        </w:rPr>
        <w:t>Daily CLV &amp; Behavioral Analytics Pipeline — Final End-to-End Report</w:t>
      </w:r>
    </w:p>
    <w:p>
      <w:pPr>
        <w:jc w:val="center"/>
      </w:pPr>
      <w:r>
        <w:rPr>
          <w:i/>
          <w:color w:val="555555"/>
          <w:sz w:val="24"/>
        </w:rPr>
        <w:t>Alltown Fresh (Global Partners LP) ordering data</w:t>
      </w:r>
    </w:p>
    <w:p/>
    <w:p>
      <w:pPr>
        <w:jc w:val="center"/>
      </w:pPr>
      <w:r>
        <w:rPr>
          <w:color w:val="555555"/>
          <w:sz w:val="20"/>
        </w:rPr>
        <w:t>Live AWS pipeline validated July 09, 2026; metric fixes verified locally July 10, 2026  ·  Prepared for Gerardo Machado</w:t>
      </w:r>
    </w:p>
    <w:p>
      <w:r>
        <w:br w:type="page"/>
      </w:r>
    </w:p>
    <w:p>
      <w:pPr>
        <w:pStyle w:val="Heading1"/>
      </w:pPr>
      <w:r>
        <w:rPr>
          <w:color w:val="1A2B4C"/>
        </w:rPr>
        <w:t>Executive Summary</w:t>
      </w:r>
    </w:p>
    <w:p>
      <w:r>
        <w:rPr>
          <w:b w:val="0"/>
          <w:i w:val="0"/>
          <w:sz w:val="22"/>
        </w:rPr>
        <w:t>This report documents the DE Global Partners Customer Lifetime Value (CLV) and behavioral analytics pipeline, built per the approved Software Design Document (SDD v1.2). The data pipeline — SQL Server through Glue Workflow, Bronze/Silver/Gold, and Amazon Athena — was validated end-to-end against live AWS infrastructure and real order data. The dashboard itself runs locally (Streamlit, DATA_BACKEND=local, WSL2/Python 3.11), rebuilding the Gold marts directly from the source CSVs with the same tested PySpark transforms used in production — no public deployment.</w:t>
      </w:r>
    </w:p>
    <w:p>
      <w:r>
        <w:rPr>
          <w:b w:val="0"/>
          <w:i w:val="0"/>
          <w:sz w:val="22"/>
        </w:rPr>
        <w:t>The pipeline computes daily Customer Lifetime Value and six behavioral analytics marts (RFM segmentation, churn risk, sales trends, loyalty impact, location performance, and an add-on revenue supplement) for 20,059 identified Alltown Fresh customers across 27 locations.</w:t>
      </w:r>
    </w:p>
    <w:p>
      <w:pPr>
        <w:pStyle w:val="Heading2"/>
      </w:pPr>
      <w:r>
        <w:rPr>
          <w:color w:val="0E63B0"/>
        </w:rPr>
        <w:t>Key results (verified against a live local rebuild)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Identified customers (guest-excluded)</w:t>
            </w:r>
          </w:p>
        </w:tc>
        <w:tc>
          <w:tcPr>
            <w:tcW w:type="dxa" w:w="4320"/>
          </w:tcPr>
          <w:p>
            <w:r>
              <w:t>20,059</w:t>
            </w:r>
          </w:p>
        </w:tc>
      </w:tr>
      <w:tr>
        <w:tc>
          <w:tcPr>
            <w:tcW w:type="dxa" w:w="4320"/>
          </w:tcPr>
          <w:p>
            <w:r>
              <w:t>Total CLV — identified customers</w:t>
            </w:r>
          </w:p>
        </w:tc>
        <w:tc>
          <w:tcPr>
            <w:tcW w:type="dxa" w:w="4320"/>
          </w:tcPr>
          <w:p>
            <w:r>
              <w:t>$7,769,264.83</w:t>
            </w:r>
          </w:p>
        </w:tc>
      </w:tr>
      <w:tr>
        <w:tc>
          <w:tcPr>
            <w:tcW w:type="dxa" w:w="4320"/>
          </w:tcPr>
          <w:p>
            <w:r>
              <w:t>Average CLV / customer</w:t>
            </w:r>
          </w:p>
        </w:tc>
        <w:tc>
          <w:tcPr>
            <w:tcW w:type="dxa" w:w="4320"/>
          </w:tcPr>
          <w:p>
            <w:r>
              <w:t>$387.32</w:t>
            </w:r>
          </w:p>
        </w:tc>
      </w:tr>
      <w:tr>
        <w:tc>
          <w:tcPr>
            <w:tcW w:type="dxa" w:w="4320"/>
          </w:tcPr>
          <w:p>
            <w:r>
              <w:t>Total net revenue — all orders, incl. guests</w:t>
            </w:r>
          </w:p>
        </w:tc>
        <w:tc>
          <w:tcPr>
            <w:tcW w:type="dxa" w:w="4320"/>
          </w:tcPr>
          <w:p>
            <w:r>
              <w:t>$10,005,987.89</w:t>
            </w:r>
          </w:p>
        </w:tc>
      </w:tr>
      <w:tr>
        <w:tc>
          <w:tcPr>
            <w:tcW w:type="dxa" w:w="4320"/>
          </w:tcPr>
          <w:p>
            <w:r>
              <w:t>Total gross revenue</w:t>
            </w:r>
          </w:p>
        </w:tc>
        <w:tc>
          <w:tcPr>
            <w:tcW w:type="dxa" w:w="4320"/>
          </w:tcPr>
          <w:p>
            <w:r>
              <w:t>$9,920,993.35</w:t>
            </w:r>
          </w:p>
        </w:tc>
      </w:tr>
      <w:tr>
        <w:tc>
          <w:tcPr>
            <w:tcW w:type="dxa" w:w="4320"/>
          </w:tcPr>
          <w:p>
            <w:r>
              <w:t>Distinct orders (all)</w:t>
            </w:r>
          </w:p>
        </w:tc>
        <w:tc>
          <w:tcPr>
            <w:tcW w:type="dxa" w:w="4320"/>
          </w:tcPr>
          <w:p>
            <w:r>
              <w:t>130,587</w:t>
            </w:r>
          </w:p>
        </w:tc>
      </w:tr>
      <w:tr>
        <w:tc>
          <w:tcPr>
            <w:tcW w:type="dxa" w:w="4320"/>
          </w:tcPr>
          <w:p>
            <w:r>
              <w:t>Add-on / modifier revenue</w:t>
            </w:r>
          </w:p>
        </w:tc>
        <w:tc>
          <w:tcPr>
            <w:tcW w:type="dxa" w:w="4320"/>
          </w:tcPr>
          <w:p>
            <w:r>
              <w:t>$84,994.54</w:t>
            </w:r>
          </w:p>
        </w:tc>
      </w:tr>
      <w:tr>
        <w:tc>
          <w:tcPr>
            <w:tcW w:type="dxa" w:w="4320"/>
          </w:tcPr>
          <w:p>
            <w:r>
              <w:t>CLV tier split (High / Medium / Low)</w:t>
            </w:r>
          </w:p>
        </w:tc>
        <w:tc>
          <w:tcPr>
            <w:tcW w:type="dxa" w:w="4320"/>
          </w:tcPr>
          <w:p>
            <w:r>
              <w:t>4,011 / 12,036 / 4,012 — ~20/60/20</w:t>
            </w:r>
          </w:p>
        </w:tc>
      </w:tr>
      <w:tr>
        <w:tc>
          <w:tcPr>
            <w:tcW w:type="dxa" w:w="4320"/>
          </w:tcPr>
          <w:p>
            <w:r>
              <w:t>Locations</w:t>
            </w:r>
          </w:p>
        </w:tc>
        <w:tc>
          <w:tcPr>
            <w:tcW w:type="dxa" w:w="4320"/>
          </w:tcPr>
          <w:p>
            <w:r>
              <w:t>27</w:t>
            </w:r>
          </w:p>
        </w:tc>
      </w:tr>
      <w:tr>
        <w:tc>
          <w:tcPr>
            <w:tcW w:type="dxa" w:w="4320"/>
          </w:tcPr>
          <w:p>
            <w:r>
              <w:t>Raw source records ingested</w:t>
            </w:r>
          </w:p>
        </w:tc>
        <w:tc>
          <w:tcPr>
            <w:tcW w:type="dxa" w:w="4320"/>
          </w:tcPr>
          <w:p>
            <w:r>
              <w:t>203,519 order_items · 193,017 order_item_options</w:t>
            </w:r>
          </w:p>
        </w:tc>
      </w:tr>
      <w:tr>
        <w:tc>
          <w:tcPr>
            <w:tcW w:type="dxa" w:w="4320"/>
          </w:tcPr>
          <w:p>
            <w:r>
              <w:t>Calendar join coverage</w:t>
            </w:r>
          </w:p>
        </w:tc>
        <w:tc>
          <w:tcPr>
            <w:tcW w:type="dxa" w:w="4320"/>
          </w:tcPr>
          <w:p>
            <w:r>
              <w:t>100%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2B4C"/>
        </w:rPr>
        <w:t>Architecture</w:t>
      </w:r>
    </w:p>
    <w:p>
      <w:r>
        <w:rPr>
          <w:b w:val="0"/>
          <w:i w:val="0"/>
          <w:sz w:val="22"/>
        </w:rPr>
        <w:t>The pipeline follows a medallion architecture (Bronze → Silver → Gold) orchestrated by an AWS Glue Workflow, with Amazon Athena engine v3 serving the Gold layer. The diagram below reflects the approved SDD design and the live AWS deployment; the dashboard itself runs locally rather than as a hosted service (see Live Deployment vs. Local Dashboard, below).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6686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_Global_Partners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86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1 — End-to-end pipeline architecture (SDD v1.2)</w:t>
      </w:r>
    </w:p>
    <w:p>
      <w:pPr>
        <w:pStyle w:val="Heading2"/>
      </w:pPr>
      <w:r>
        <w:rPr>
          <w:color w:val="0E63B0"/>
        </w:rPr>
        <w:t>Live AWS footprint (us-east-1) — data pipeline</w:t>
      </w:r>
    </w:p>
    <w:p>
      <w:pPr>
        <w:pStyle w:val="ListBullet"/>
      </w:pPr>
      <w:r>
        <w:t>S3: 6 zones (bronze/silver/gold/athena-results/scripts/logs) — versioned, SSE-KMS (customer-managed CMK), public access blocked</w:t>
      </w:r>
    </w:p>
    <w:p>
      <w:pPr>
        <w:pStyle w:val="ListBullet"/>
      </w:pPr>
      <w:r>
        <w:t>RDS SQL Server (db.t3.micro, sqlserver-ex) — seeded with the real 203,519-row Alltown Fresh order_items dataset, reached by Glue over a dedicated VPC subnet + NAT Gateway + S3 Gateway Endpoint</w:t>
      </w:r>
    </w:p>
    <w:p>
      <w:pPr>
        <w:pStyle w:val="ListBullet"/>
      </w:pPr>
      <w:r>
        <w:t>AWS Glue Workflow “global-partners-dev-daily” — 5 jobs, 4 triggers, daily 06:00 UTC schedule, EventBridge failure rule → SNS alert topic</w:t>
      </w:r>
    </w:p>
    <w:p>
      <w:pPr>
        <w:pStyle w:val="ListBullet"/>
      </w:pPr>
      <w:r>
        <w:t>Amazon Athena engine v3 workgroup — 7 Gold tables registered as native Delta Lake tables, re-registered on every publish_and_qc run</w:t>
      </w:r>
    </w:p>
    <w:p>
      <w:pPr>
        <w:pStyle w:val="ListBullet"/>
      </w:pPr>
      <w:r>
        <w:t>Secrets Manager + KMS — SQL Server credentials and encryption keys never touch application code or version control</w:t>
      </w:r>
    </w:p>
    <w:p>
      <w:pPr>
        <w:pStyle w:val="Heading2"/>
      </w:pPr>
      <w:r>
        <w:rPr>
          <w:color w:val="0E63B0"/>
        </w:rPr>
        <w:t>Dashboard: local only, by design</w:t>
      </w:r>
    </w:p>
    <w:p>
      <w:r>
        <w:rPr>
          <w:b w:val="0"/>
          <w:i w:val="0"/>
          <w:sz w:val="22"/>
        </w:rPr>
        <w:t>An earlier iteration of this project deployed the dashboard publicly on Streamlit Community Cloud, backed by a dedicated read-only IAM user against Athena. That public deployment and its IAM credential have since been deliberately deleted — the dashboard now runs only locally, reading directly from the source CSVs via DATA_BACKEND=local (no AWS credentials, no public exposure). This report's screenshots and figures reflect that local deployment.</w:t>
      </w:r>
    </w:p>
    <w:p>
      <w:r>
        <w:br w:type="page"/>
      </w:r>
    </w:p>
    <w:p>
      <w:pPr>
        <w:pStyle w:val="Heading1"/>
      </w:pPr>
      <w:r>
        <w:rPr>
          <w:color w:val="1A2B4C"/>
        </w:rPr>
        <w:t>Data Validation &amp; Quality Gates</w:t>
      </w:r>
    </w:p>
    <w:p>
      <w:r>
        <w:rPr>
          <w:b w:val="0"/>
          <w:i w:val="0"/>
          <w:sz w:val="22"/>
        </w:rPr>
        <w:t>Every run of the publish_and_qc job enforces four automated quality gates before the Gold tables are published to Athena. On the final validated live AWS run, all four passed: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QC Gate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silver_order_items == 202,692</w:t>
            </w:r>
          </w:p>
        </w:tc>
        <w:tc>
          <w:tcPr>
            <w:tcW w:type="dxa" w:w="4320"/>
          </w:tcPr>
          <w:p>
            <w:r>
              <w:t>PASS — post-clean reconciliation</w:t>
            </w:r>
          </w:p>
        </w:tc>
      </w:tr>
      <w:tr>
        <w:tc>
          <w:tcPr>
            <w:tcW w:type="dxa" w:w="4320"/>
          </w:tcPr>
          <w:p>
            <w:r>
              <w:t>calendar_join_coverage == 100%</w:t>
            </w:r>
          </w:p>
        </w:tc>
        <w:tc>
          <w:tcPr>
            <w:tcW w:type="dxa" w:w="4320"/>
          </w:tcPr>
          <w:p>
            <w:r>
              <w:t>PASS — 0 missing order dates</w:t>
            </w:r>
          </w:p>
        </w:tc>
      </w:tr>
      <w:tr>
        <w:tc>
          <w:tcPr>
            <w:tcW w:type="dxa" w:w="4320"/>
          </w:tcPr>
          <w:p>
            <w:r>
              <w:t>clv_tier_split ~ 20/60/20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net &gt;= gross (options additive)</w:t>
            </w:r>
          </w:p>
        </w:tc>
        <w:tc>
          <w:tcPr>
            <w:tcW w:type="dxa" w:w="4320"/>
          </w:tcPr>
          <w:p>
            <w:r>
              <w:t>PASS — net $10,005,987.89 ≥ gross $9,920,993.35</w:t>
            </w:r>
          </w:p>
        </w:tc>
      </w:tr>
    </w:tbl>
    <w:p/>
    <w:p>
      <w:pPr>
        <w:pStyle w:val="Heading2"/>
      </w:pPr>
      <w:r>
        <w:rPr>
          <w:color w:val="0E63B0"/>
        </w:rPr>
        <w:t>Data limitations (SME-approved decisions)</w:t>
      </w:r>
    </w:p>
    <w:p>
      <w:pPr>
        <w:pStyle w:val="ListBullet"/>
      </w:pPr>
      <w:r>
        <w:t>D1 — the shipped date_dim covers only 2023, but orders span 2020-04-21 to 2024-02-21 (1,402 days); the calendar is generated in Silver from the true order-date range for 100% join coverage.</w:t>
      </w:r>
    </w:p>
    <w:p>
      <w:pPr>
        <w:pStyle w:val="ListBullet"/>
      </w:pPr>
      <w:r>
        <w:t>D2 — the dataset contains no discount signal (zero negative prices in either source file). The originally specified Pricing &amp; Discount Effectiveness analysis cannot be performed and is documented as a data limitation; an optional add-on/modifier revenue supplement is shown instead.</w:t>
      </w:r>
    </w:p>
    <w:p>
      <w:r>
        <w:br w:type="page"/>
      </w:r>
    </w:p>
    <w:p>
      <w:pPr>
        <w:pStyle w:val="Heading1"/>
      </w:pPr>
      <w:r>
        <w:rPr>
          <w:color w:val="1A2B4C"/>
        </w:rPr>
        <w:t>Engineering Journey — Live &amp; Local Validation Findings</w:t>
      </w:r>
    </w:p>
    <w:p>
      <w:r>
        <w:rPr>
          <w:b w:val="0"/>
          <w:i w:val="0"/>
          <w:sz w:val="22"/>
        </w:rPr>
        <w:t>Deploying the approved design against a real AWS account, and a subsequent local correctness review, surfaced fourteen real issues that no dry-run or unit test caught — each was root-caused and fixed, then re-verified. This is included here because it reflects the actual state of the codebase after live validation, not just the design intent.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Issue found &amp; fixed</w:t>
            </w:r>
          </w:p>
        </w:tc>
      </w:tr>
      <w:tr>
        <w:tc>
          <w:tcPr>
            <w:tcW w:type="dxa" w:w="4320"/>
          </w:tcPr>
          <w:p>
            <w:r>
              <w:t>Infra bootstrap</w:t>
            </w:r>
          </w:p>
        </w:tc>
        <w:tc>
          <w:tcPr>
            <w:tcW w:type="dxa" w:w="4320"/>
          </w:tcPr>
          <w:p>
            <w:r>
              <w:t>KMS alias passed where Glue/Athena required a full ARN — both APIs rejected the bare alias string.</w:t>
            </w:r>
          </w:p>
        </w:tc>
      </w:tr>
      <w:tr>
        <w:tc>
          <w:tcPr>
            <w:tcW w:type="dxa" w:w="4320"/>
          </w:tcPr>
          <w:p>
            <w:r>
              <w:t>IAM</w:t>
            </w:r>
          </w:p>
        </w:tc>
        <w:tc>
          <w:tcPr>
            <w:tcW w:type="dxa" w:w="4320"/>
          </w:tcPr>
          <w:p>
            <w:r>
              <w:t>Glue execution role lacked EC2 networking permissions required for VPC-connected jobs; attached AWS's AWSGlueServiceRole managed policy.</w:t>
            </w:r>
          </w:p>
        </w:tc>
      </w:tr>
      <w:tr>
        <w:tc>
          <w:tcPr>
            <w:tcW w:type="dxa" w:w="4320"/>
          </w:tcPr>
          <w:p>
            <w:r>
              <w:t>Networking</w:t>
            </w:r>
          </w:p>
        </w:tc>
        <w:tc>
          <w:tcPr>
            <w:tcW w:type="dxa" w:w="4320"/>
          </w:tcPr>
          <w:p>
            <w:r>
              <w:t>Glue's VPC security group needs a self-referencing all-TCP-ports rule (AWS requirement for Spark driver/executor ENI communication).</w:t>
            </w:r>
          </w:p>
        </w:tc>
      </w:tr>
      <w:tr>
        <w:tc>
          <w:tcPr>
            <w:tcW w:type="dxa" w:w="4320"/>
          </w:tcPr>
          <w:p>
            <w:r>
              <w:t>Networking</w:t>
            </w:r>
          </w:p>
        </w:tc>
        <w:tc>
          <w:tcPr>
            <w:tcW w:type="dxa" w:w="4320"/>
          </w:tcPr>
          <w:p>
            <w:r>
              <w:t>The Glue job's subnet had no route to S3/Secrets Manager/CloudWatch — added an S3 Gateway Endpoint and a NAT Gateway.</w:t>
            </w:r>
          </w:p>
        </w:tc>
      </w:tr>
      <w:tr>
        <w:tc>
          <w:tcPr>
            <w:tcW w:type="dxa" w:w="4320"/>
          </w:tcPr>
          <w:p>
            <w:r>
              <w:t>Networking</w:t>
            </w:r>
          </w:p>
        </w:tc>
        <w:tc>
          <w:tcPr>
            <w:tcW w:type="dxa" w:w="4320"/>
          </w:tcPr>
          <w:p>
            <w:r>
              <w:t>The NAT routing change was first applied to RDS's own subnet, accidentally cutting off the database's internet route — resolved by dedicating a separate subnet to the Glue Connection.</w:t>
            </w:r>
          </w:p>
        </w:tc>
      </w:tr>
      <w:tr>
        <w:tc>
          <w:tcPr>
            <w:tcW w:type="dxa" w:w="4320"/>
          </w:tcPr>
          <w:p>
            <w:r>
              <w:t>KMS</w:t>
            </w:r>
          </w:p>
        </w:tc>
        <w:tc>
          <w:tcPr>
            <w:tcW w:type="dxa" w:w="4320"/>
          </w:tcPr>
          <w:p>
            <w:r>
              <w:t>The CMK's key policy didn't grant CloudWatch Logs permission to encrypt the job's log group.</w:t>
            </w:r>
          </w:p>
        </w:tc>
      </w:tr>
      <w:tr>
        <w:tc>
          <w:tcPr>
            <w:tcW w:type="dxa" w:w="4320"/>
          </w:tcPr>
          <w:p>
            <w:r>
              <w:t>job1 (ingest)</w:t>
            </w:r>
          </w:p>
        </w:tc>
        <w:tc>
          <w:tcPr>
            <w:tcW w:type="dxa" w:w="4320"/>
          </w:tcPr>
          <w:p>
            <w:r>
              <w:t>Dead code called a Spark function before the SparkContext existed, crashing every run; the value was never actually used downstream.</w:t>
            </w:r>
          </w:p>
        </w:tc>
      </w:tr>
      <w:tr>
        <w:tc>
          <w:tcPr>
            <w:tcW w:type="dxa" w:w="4320"/>
          </w:tcPr>
          <w:p>
            <w:r>
              <w:t>Deployment packaging</w:t>
            </w:r>
          </w:p>
        </w:tc>
        <w:tc>
          <w:tcPr>
            <w:tcW w:type="dxa" w:w="4320"/>
          </w:tcPr>
          <w:p>
            <w:r>
              <w:t>glue_lib.zip was missing its glue/ package wrapper, so from glue.lib import ... failed at runtime in jobs 2–4.</w:t>
            </w:r>
          </w:p>
        </w:tc>
      </w:tr>
      <w:tr>
        <w:tc>
          <w:tcPr>
            <w:tcW w:type="dxa" w:w="4320"/>
          </w:tcPr>
          <w:p>
            <w:r>
              <w:t>Delta Lake</w:t>
            </w:r>
          </w:p>
        </w:tc>
        <w:tc>
          <w:tcPr>
            <w:tcW w:type="dxa" w:w="4320"/>
          </w:tcPr>
          <w:p>
            <w:r>
              <w:t>Missing explicit Spark SQL extension/catalog configuration caused a ClassCastException whenever a job overwrote an existing Delta table.</w:t>
            </w:r>
          </w:p>
        </w:tc>
      </w:tr>
      <w:tr>
        <w:tc>
          <w:tcPr>
            <w:tcW w:type="dxa" w:w="4320"/>
          </w:tcPr>
          <w:p>
            <w:r>
              <w:t>Data quality</w:t>
            </w:r>
          </w:p>
        </w:tc>
        <w:tc>
          <w:tcPr>
            <w:tcW w:type="dxa" w:w="4320"/>
          </w:tcPr>
          <w:p>
            <w:r>
              <w:t>One malformed source row stored an empty string instead of NULL (an artifact of the demo data-loading script), causing the Silver row-count QC gate to be off by exactly one.</w:t>
            </w:r>
          </w:p>
        </w:tc>
      </w:tr>
      <w:tr>
        <w:tc>
          <w:tcPr>
            <w:tcW w:type="dxa" w:w="4320"/>
          </w:tcPr>
          <w:p>
            <w:r>
              <w:t>Athena registration</w:t>
            </w:r>
          </w:p>
        </w:tc>
        <w:tc>
          <w:tcPr>
            <w:tcW w:type="dxa" w:w="4320"/>
          </w:tcPr>
          <w:p>
            <w:r>
              <w:t>Athena's DROP TABLE DDL rejects native Delta Lake tables; switched to the Glue API's delete_table for re-registration.</w:t>
            </w:r>
          </w:p>
        </w:tc>
      </w:tr>
      <w:tr>
        <w:tc>
          <w:tcPr>
            <w:tcW w:type="dxa" w:w="4320"/>
          </w:tcPr>
          <w:p>
            <w:r>
              <w:t>Gold layer idempotency</w:t>
            </w:r>
          </w:p>
        </w:tc>
        <w:tc>
          <w:tcPr>
            <w:tcW w:type="dxa" w:w="4320"/>
          </w:tcPr>
          <w:p>
            <w:r>
              <w:t>job3 wrote the CLV daily snapshot with append mode, so re-running the job for the same date silently tripled the data (60,180 rows instead of 20,060); switched to a dynamic partition overwrite.</w:t>
            </w:r>
          </w:p>
        </w:tc>
      </w:tr>
      <w:tr>
        <w:tc>
          <w:tcPr>
            <w:tcW w:type="dxa" w:w="4320"/>
          </w:tcPr>
          <w:p>
            <w:r>
              <w:t>Guest/CLV conflation</w:t>
            </w:r>
          </w:p>
        </w:tc>
        <w:tc>
          <w:tcPr>
            <w:tcW w:type="dxa" w:w="4320"/>
          </w:tcPr>
          <w:p>
            <w:r>
              <w:t>Guest orders ingested via RDS/JDBC stored user_id as "" rather than NULL, so the guest flag missed them; they collapsed onto one bogus customer, inflating CLV total and count by exactly the gap between identified-customer revenue and total net revenue. Fixed by normalizing blank/whitespace user_id to NULL before deriving is_guest. Fully verified: a local rebuild of the real data reproduces the corrected figures exactly, the full pytest suite passes (29/29), and the dashboard renders correctly end-to-end on the local backend.</w:t>
            </w:r>
          </w:p>
        </w:tc>
      </w:tr>
      <w:tr>
        <w:tc>
          <w:tcPr>
            <w:tcW w:type="dxa" w:w="4320"/>
          </w:tcPr>
          <w:p>
            <w:r>
              <w:t>Local dev environment</w:t>
            </w:r>
          </w:p>
        </w:tc>
        <w:tc>
          <w:tcPr>
            <w:tcW w:type="dxa" w:w="4320"/>
          </w:tcPr>
          <w:p>
            <w:r>
              <w:t>PySpark's local test/dev path was broken on the development machine: native Windows hit a broadcast-join socket incompatibility, and WSL2's default Python 3.14 (Ubuntu 26.04) hit an unbounded recursion bug in PySpark's vendored cloudpickle. Resolved by installing a Python 3.11 conda environment inside WSL2 — PySpark 3.5.3 was never designed for Python 3.13/3.14. Not a pipeline defect; doesn't affect AWS Glue, which runs its own managed Spark/Python runtime independent of local dev tooling.</w:t>
            </w:r>
          </w:p>
        </w:tc>
      </w:tr>
    </w:tbl>
    <w:p/>
    <w:p>
      <w:r>
        <w:rPr>
          <w:b w:val="0"/>
          <w:i/>
          <w:color w:val="555555"/>
          <w:sz w:val="20"/>
        </w:rPr>
        <w:t>All fixes are committed to the main branch of the project repository (github.com/GDMachado1972/de-global-partners), each with a commit message documenting the root cause and the verification performed.</w:t>
      </w:r>
    </w:p>
    <w:p>
      <w:r>
        <w:br w:type="page"/>
      </w:r>
    </w:p>
    <w:p>
      <w:pPr>
        <w:pStyle w:val="Heading1"/>
      </w:pPr>
      <w:r>
        <w:rPr>
          <w:color w:val="1A2B4C"/>
        </w:rPr>
        <w:t>Dashboard Walkthrough</w:t>
      </w:r>
    </w:p>
    <w:p>
      <w:r>
        <w:rPr>
          <w:b w:val="0"/>
          <w:i w:val="0"/>
          <w:sz w:val="22"/>
        </w:rPr>
        <w:t>The dashboard runs locally only — DATA_BACKEND=local, rebuilding the Gold marts directly from the source CSVs with the same tested PySpark transforms used in production (no Delta Lake, no AWS credentials, no public exposure). Launch with:</w:t>
      </w:r>
    </w:p>
    <w:p>
      <w:r>
        <w:rPr>
          <w:rFonts w:ascii="Consolas" w:hAnsi="Consolas"/>
          <w:sz w:val="20"/>
        </w:rPr>
        <w:t>DATA_BACKEND=local LANDING=/path/to/the/three/csvs streamlit run dashboard/app.py</w:t>
      </w:r>
    </w:p>
    <w:p>
      <w:pPr>
        <w:pStyle w:val="Heading2"/>
      </w:pPr>
      <w:r>
        <w:rPr>
          <w:color w:val="0E63B0"/>
        </w:rPr>
        <w:t>CLV Overview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5378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V_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378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  <w:sz w:val="20"/>
        </w:rPr>
        <w:t>20,059 identified customers, $7,769,264.83 total CLV, $387.32 avg/customer. Total net revenue across all orders (incl. guests) is shown separately at $10,005,987.89 — the two figures are intentionally not conflated. CLV tier split ≈ 20/60/20 (High/Medium/Low).</w:t>
      </w:r>
    </w:p>
    <w:p/>
    <w:p>
      <w:pPr>
        <w:pStyle w:val="Heading2"/>
      </w:pPr>
      <w:r>
        <w:rPr>
          <w:color w:val="0E63B0"/>
        </w:rPr>
        <w:t>Customer Segmentation (RFM)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5923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tomer Segment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2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  <w:sz w:val="20"/>
        </w:rPr>
        <w:t>Recency/Frequency/Monetary scoring splits the identified-customer base into segments: VIP, New, Churn-Risk, and Other.</w:t>
      </w:r>
    </w:p>
    <w:p/>
    <w:p>
      <w:pPr>
        <w:pStyle w:val="Heading2"/>
      </w:pPr>
      <w:r>
        <w:rPr>
          <w:color w:val="0E63B0"/>
        </w:rPr>
        <w:t>Churn Risk Indicators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56720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urn Risk Indicato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672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  <w:sz w:val="20"/>
        </w:rPr>
        <w:t>Customers flagged at risk by days-since-last-order, with an adjustable threshold (default 45 days).</w:t>
      </w:r>
    </w:p>
    <w:p/>
    <w:p>
      <w:pPr>
        <w:pStyle w:val="Heading2"/>
      </w:pPr>
      <w:r>
        <w:rPr>
          <w:color w:val="0E63B0"/>
        </w:rPr>
        <w:t>Sales Trends &amp; Seasonality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9700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es Trends &amp; Seasonali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700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  <w:sz w:val="20"/>
        </w:rPr>
        <w:t>Full order history (2020–2024, generated calendar per decision D1): $10,005,987.89 net revenue on $9,920,993.35 gross. The KPI is explicitly labeled "Category order-lines" (not distinct orders — g_fact_sales_trends is grained at date × location × category), with the true distinct-order count (130,587) noted separately.</w:t>
      </w:r>
    </w:p>
    <w:p/>
    <w:p>
      <w:pPr>
        <w:pStyle w:val="Heading2"/>
      </w:pPr>
      <w:r>
        <w:rPr>
          <w:color w:val="0E63B0"/>
        </w:rPr>
        <w:t>Loyalty Program Impact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1350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yalty Program Impac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3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  <w:sz w:val="20"/>
        </w:rPr>
        <w:t>Loyalty vs. non-loyalty cohort comparison, with a caption noting the two cohorts overlap (loyalty is a per-order flag, not a per-customer attribute) — their customer counts don't sum to the identified-customer total.</w:t>
      </w:r>
    </w:p>
    <w:p/>
    <w:p>
      <w:pPr>
        <w:pStyle w:val="Heading2"/>
      </w:pPr>
      <w:r>
        <w:rPr>
          <w:color w:val="0E63B0"/>
        </w:rPr>
        <w:t>Location Performance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95021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cation Performan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50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  <w:sz w:val="20"/>
        </w:rPr>
        <w:t>All 27 locations ranked by net revenue.</w:t>
      </w:r>
    </w:p>
    <w:p/>
    <w:p>
      <w:pPr>
        <w:pStyle w:val="Heading2"/>
      </w:pPr>
      <w:r>
        <w:rPr>
          <w:color w:val="0E63B0"/>
        </w:rPr>
        <w:t>Pricing &amp; Add-on (D2 data-limitation view)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0150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cing &amp; Discount Effectivenes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1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  <w:sz w:val="20"/>
        </w:rPr>
        <w:t>Documents the D2 SME decision (no discount signal in the source data) and shows the optional supplement instead: paid add-on/modifier revenue contribution.</w:t>
      </w:r>
    </w:p>
    <w:p/>
    <w:p>
      <w:r>
        <w:br w:type="page"/>
      </w:r>
    </w:p>
    <w:p>
      <w:pPr>
        <w:pStyle w:val="Heading1"/>
      </w:pPr>
      <w:r>
        <w:rPr>
          <w:color w:val="1A2B4C"/>
        </w:rPr>
        <w:t>Access &amp; Links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Location</w:t>
            </w:r>
          </w:p>
        </w:tc>
      </w:tr>
      <w:tr>
        <w:tc>
          <w:tcPr>
            <w:tcW w:type="dxa" w:w="4320"/>
          </w:tcPr>
          <w:p>
            <w:r>
              <w:t>Dashboard</w:t>
            </w:r>
          </w:p>
        </w:tc>
        <w:tc>
          <w:tcPr>
            <w:tcW w:type="dxa" w:w="4320"/>
          </w:tcPr>
          <w:p>
            <w:r>
              <w:t>Local only — streamlit run dashboard/app.py (DATA_BACKEND=local)</w:t>
            </w:r>
          </w:p>
        </w:tc>
      </w:tr>
      <w:tr>
        <w:tc>
          <w:tcPr>
            <w:tcW w:type="dxa" w:w="4320"/>
          </w:tcPr>
          <w:p>
            <w:r>
              <w:t>Source repository</w:t>
            </w:r>
          </w:p>
        </w:tc>
        <w:tc>
          <w:tcPr>
            <w:tcW w:type="dxa" w:w="4320"/>
          </w:tcPr>
          <w:p>
            <w:r>
              <w:t>https://github.com/GDMachado1972/de-global-partners</w:t>
            </w:r>
          </w:p>
        </w:tc>
      </w:tr>
      <w:tr>
        <w:tc>
          <w:tcPr>
            <w:tcW w:type="dxa" w:w="4320"/>
          </w:tcPr>
          <w:p>
            <w:r>
              <w:t>AWS region (data pipeline)</w:t>
            </w:r>
          </w:p>
        </w:tc>
        <w:tc>
          <w:tcPr>
            <w:tcW w:type="dxa" w:w="4320"/>
          </w:tcPr>
          <w:p>
            <w:r>
              <w:t>us-east-1</w:t>
            </w:r>
          </w:p>
        </w:tc>
      </w:tr>
      <w:tr>
        <w:tc>
          <w:tcPr>
            <w:tcW w:type="dxa" w:w="4320"/>
          </w:tcPr>
          <w:p>
            <w:r>
              <w:t>Glue Workflow</w:t>
            </w:r>
          </w:p>
        </w:tc>
        <w:tc>
          <w:tcPr>
            <w:tcW w:type="dxa" w:w="4320"/>
          </w:tcPr>
          <w:p>
            <w:r>
              <w:t>global-partners-dev-daily (daily 06:00 UTC + on-demand)</w:t>
            </w:r>
          </w:p>
        </w:tc>
      </w:tr>
      <w:tr>
        <w:tc>
          <w:tcPr>
            <w:tcW w:type="dxa" w:w="4320"/>
          </w:tcPr>
          <w:p>
            <w:r>
              <w:t>Athena database</w:t>
            </w:r>
          </w:p>
        </w:tc>
        <w:tc>
          <w:tcPr>
            <w:tcW w:type="dxa" w:w="4320"/>
          </w:tcPr>
          <w:p>
            <w:r>
              <w:t>global_partners_dev_gold (engine v3)</w:t>
            </w:r>
          </w:p>
        </w:tc>
      </w:tr>
    </w:tbl>
    <w:p/>
    <w:p>
      <w:pPr>
        <w:pStyle w:val="Heading1"/>
      </w:pPr>
      <w:r>
        <w:rPr>
          <w:color w:val="1A2B4C"/>
        </w:rPr>
        <w:t>Conclusion</w:t>
      </w:r>
    </w:p>
    <w:p>
      <w:r>
        <w:rPr>
          <w:b w:val="0"/>
          <w:i w:val="0"/>
          <w:sz w:val="22"/>
        </w:rPr>
        <w:t>The DE Global Partners CLV and behavioral analytics data pipeline is fully implemented and validated end-to-end against live AWS infrastructure and real order data. The Glue Workflow runs its full five-job DAG reliably and idempotently, and all four automated QC gates pass. A subsequent correctness review found and fixed two metric-accuracy bugs (guest/CLV conflation and a sales-trends order double-count); both are corrected in code and fully verified — a local rebuild of the real source data reproduces the corrected figures exactly, the complete pytest suite passes (29/29, unit and integration), and the dashboard runs end-to-end locally with all seven views rendering the corrected numbers. The dashboard is intentionally local-only: an earlier public Streamlit Cloud deployment and its dedicated AWS credential have been deleted. Fourteen real infrastructure and code issues in total were found and fixed through live and local validation — the kind of gap that only surfaces when a design is actually run, not just reviewed — and every fix is committed and documented in the repository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