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b/>
          <w:bCs/>
          <w:color w:val="1F3864"/>
          <w:sz w:val="40"/>
          <w:szCs w:val="40"/>
        </w:rPr>
        <w:t xml:space="preserve">SOLUTION DESIGN DOCUMENT</w:t>
      </w:r>
    </w:p>
    <w:p>
      <w:pPr>
        <w:spacing w:after="40"/>
        <w:jc w:val="center"/>
      </w:pPr>
      <w:r>
        <w:rPr>
          <w:b/>
          <w:bCs/>
          <w:color w:val="2E5496"/>
          <w:sz w:val="26"/>
          <w:szCs w:val="26"/>
        </w:rPr>
        <w:t xml:space="preserve">DE Global Partners — Daily Customer Lifetime Value Pipeline</w:t>
      </w:r>
    </w:p>
    <w:p>
      <w:pPr>
        <w:spacing w:after="40"/>
        <w:jc w:val="center"/>
      </w:pPr>
      <w:r>
        <w:rPr>
          <w:color w:val="595959"/>
          <w:sz w:val="20"/>
          <w:szCs w:val="20"/>
        </w:rPr>
        <w:t xml:space="preserve">Alltown Fresh (Global Partners LP) — Restaurant / C-Store Ordering Analytics</w:t>
      </w:r>
    </w:p>
    <w:p>
      <w:pPr>
        <w:spacing w:after="120"/>
        <w:jc w:val="center"/>
      </w:pPr>
      <w:r>
        <w:rPr>
          <w:i/>
          <w:iCs/>
          <w:color w:val="595959"/>
          <w:sz w:val="19"/>
          <w:szCs w:val="19"/>
        </w:rPr>
        <w:t xml:space="preserve">AWS-native · PySpark · Delta Lake Medallion · Streamlit</w:t>
      </w:r>
    </w:p>
    <w:p>
      <w:pPr>
        <w:spacing w:after="40"/>
        <w:jc w:val="center"/>
      </w:pPr>
      <w:r>
        <w:rPr>
          <w:b/>
          <w:bCs/>
          <w:color w:val="1E6B2F"/>
          <w:sz w:val="21"/>
          <w:szCs w:val="21"/>
        </w:rPr>
        <w:t xml:space="preserve">Version 1.2 · Status: APPROVED — Build Released</w:t>
      </w:r>
    </w:p>
    <w:p>
      <w:pPr>
        <w:spacing w:after="30"/>
        <w:jc w:val="center"/>
      </w:pPr>
      <w:r>
        <w:rPr>
          <w:color w:val="595959"/>
          <w:sz w:val="18"/>
          <w:szCs w:val="18"/>
        </w:rPr>
        <w:t xml:space="preserve">Approved by SME (Bansari Modi), July 07, 2026 · Target submission July 10, 2026</w:t>
      </w:r>
    </w:p>
    <w:p>
      <w:pPr>
        <w:spacing w:after="200"/>
        <w:jc w:val="center"/>
      </w:pPr>
      <w:r>
        <w:rPr>
          <w:color w:val="595959"/>
          <w:sz w:val="18"/>
          <w:szCs w:val="18"/>
        </w:rPr>
        <w:t xml:space="preserve">Author: Gerardo D. Machado · github.com/GDMachado1972/de-global-partners</w:t>
      </w:r>
    </w:p>
    <w:p>
      <w:pPr>
        <w:pBdr>
          <w:bottom w:val="single" w:color="C9D2E3" w:sz="6"/>
        </w:pBdr>
        <w:spacing w:after="120" w:before="40"/>
      </w:pPr>
      <w:r>
        <w:t xml:space="preserve"/>
      </w:r>
    </w:p>
    <w:p>
      <w:pPr>
        <w:pStyle w:val="Heading1"/>
        <w:spacing w:after="120" w:before="260"/>
      </w:pPr>
      <w:r>
        <w:rPr>
          <w:b/>
          <w:bCs/>
          <w:color w:val="1F3864"/>
          <w:sz w:val="30"/>
          <w:szCs w:val="30"/>
        </w:rPr>
        <w:t xml:space="preserve">Document Control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2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Document</w:t>
            </w:r>
          </w:p>
        </w:tc>
        <w:tc>
          <w:tcPr>
            <w:tcW w:type="dxa" w:w="7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Solution Design Document (SDD) v1.2 — supersedes v1.1</w:t>
            </w:r>
          </w:p>
        </w:tc>
      </w:tr>
      <w:tr>
        <w:tc>
          <w:tcPr>
            <w:tcW w:type="dxa" w:w="21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Project</w:t>
            </w:r>
          </w:p>
        </w:tc>
        <w:tc>
          <w:tcPr>
            <w:tcW w:type="dxa" w:w="726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 Global Partners — Daily CLV &amp; Behavioral Analytics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Status</w:t>
            </w:r>
          </w:p>
        </w:tc>
        <w:tc>
          <w:tcPr>
            <w:tcW w:type="dxa" w:w="7260"/>
            <w:shd w:fill="E7F0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1E6B2F"/>
                <w:sz w:val="19"/>
                <w:szCs w:val="19"/>
              </w:rPr>
              <w:t xml:space="preserve">APPROVED — build released (SME sign-off recorded §16)</w:t>
            </w:r>
          </w:p>
        </w:tc>
      </w:tr>
      <w:tr>
        <w:tc>
          <w:tcPr>
            <w:tcW w:type="dxa" w:w="21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Region / Env</w:t>
            </w:r>
          </w:p>
        </w:tc>
        <w:tc>
          <w:tcPr>
            <w:tcW w:type="dxa" w:w="726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us-east-1 / dev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Repository</w:t>
            </w:r>
          </w:p>
        </w:tc>
        <w:tc>
          <w:tcPr>
            <w:tcW w:type="dxa" w:w="7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github.com/GDMachado1972/de-global-partners</w:t>
            </w:r>
          </w:p>
        </w:tc>
      </w:tr>
      <w:tr>
        <w:tc>
          <w:tcPr>
            <w:tcW w:type="dxa" w:w="21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Deadline</w:t>
            </w:r>
          </w:p>
        </w:tc>
        <w:tc>
          <w:tcPr>
            <w:tcW w:type="dxa" w:w="726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July 10, 2026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Approval gate</w:t>
            </w:r>
          </w:p>
        </w:tc>
        <w:tc>
          <w:tcPr>
            <w:tcW w:type="dxa" w:w="7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CLEARED — SME approved architecture + D1/D2 (see §16)</w:t>
            </w:r>
          </w:p>
        </w:tc>
      </w:tr>
    </w:tbl>
    <w:p>
      <w:pPr>
        <w:spacing w:after="60" w:before="140"/>
      </w:pPr>
      <w:r>
        <w:rPr>
          <w:b/>
          <w:bCs/>
          <w:i/>
          <w:iCs/>
        </w:rPr>
        <w:t xml:space="preserve">Honesty convention: </w:t>
      </w:r>
      <w:r>
        <w:rPr>
          <w:i/>
          <w:iCs/>
        </w:rPr>
        <w:t xml:space="preserve">every material claim is tagged </w:t>
      </w:r>
      <w:r>
        <w:rPr>
          <w:b/>
          <w:bCs/>
          <w:color w:val="1E6B2F"/>
        </w:rPr>
        <w:t xml:space="preserve">[FACT]</w:t>
      </w:r>
      <w:r>
        <w:rPr>
          <w:i/>
          <w:iCs/>
        </w:rPr>
        <w:t xml:space="preserve"> (measured directly against the source files), </w:t>
      </w:r>
      <w:r>
        <w:rPr>
          <w:b/>
          <w:bCs/>
          <w:color w:val="2E5496"/>
        </w:rPr>
        <w:t xml:space="preserve">[INFERENCE]</w:t>
      </w:r>
      <w:r>
        <w:rPr>
          <w:i/>
          <w:iCs/>
        </w:rPr>
        <w:t xml:space="preserve"> (reasoned from evidence), </w:t>
      </w:r>
      <w:r>
        <w:rPr>
          <w:b/>
          <w:bCs/>
          <w:color w:val="9C6500"/>
        </w:rPr>
        <w:t xml:space="preserve">[ASSUMPTION]</w:t>
      </w:r>
      <w:r>
        <w:rPr>
          <w:i/>
          <w:iCs/>
        </w:rPr>
        <w:t xml:space="preserve"> (working premise, SME-confirmed), or </w:t>
      </w:r>
      <w:r>
        <w:rPr>
          <w:b/>
          <w:bCs/>
          <w:color w:val="9C1C1C"/>
        </w:rPr>
        <w:t xml:space="preserve">[NEEDS-VALIDATION]</w:t>
      </w:r>
      <w:r>
        <w:rPr>
          <w:i/>
          <w:iCs/>
        </w:rPr>
        <w:t xml:space="preserve"> (requires a decision before relying on it).</w:t>
      </w:r>
    </w:p>
    <w:p>
      <w:pPr>
        <w:pStyle w:val="Heading2"/>
        <w:spacing w:after="100" w:before="180"/>
      </w:pPr>
      <w:r>
        <w:rPr>
          <w:b/>
          <w:bCs/>
          <w:color w:val="2E5496"/>
          <w:sz w:val="24"/>
          <w:szCs w:val="24"/>
        </w:rPr>
        <w:t xml:space="preserve">Changes from v1.0 (driven by the Step-1 data-integrity QA)</w:t>
      </w:r>
    </w:p>
    <w:p>
      <w:pPr>
        <w:spacing w:after="120" w:line="276"/>
      </w:pPr>
      <w:r>
        <w:rPr>
          <w:b/>
          <w:bCs/>
          <w:color w:val="1E6B2F"/>
          <w:sz w:val="18"/>
          <w:szCs w:val="18"/>
        </w:rPr>
        <w:t xml:space="preserve">[FACT] </w:t>
      </w:r>
      <w:r>
        <w:t xml:space="preserve">The full </w:t>
      </w:r>
      <w:r>
        <w:rPr>
          <w:rFonts w:ascii="Consolas" w:cs="Consolas" w:eastAsia="Consolas" w:hAnsi="Consolas"/>
          <w:sz w:val="18"/>
          <w:szCs w:val="18"/>
        </w:rPr>
        <w:t xml:space="preserve">order_items.csv</w:t>
      </w:r>
      <w:r>
        <w:t xml:space="preserve"> (37.9 MB) was validated together with both smaller files. Three claims carried in v1.0 did not survive verification and are corrected here: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b/>
          <w:bCs/>
        </w:rPr>
        <w:t xml:space="preserve">Record count: </w:t>
      </w:r>
      <w:r>
        <w:t xml:space="preserve">v1.0 cited ~203,531; the true count is </w:t>
      </w:r>
      <w:r>
        <w:rPr>
          <w:b/>
          <w:bCs/>
        </w:rPr>
        <w:t xml:space="preserve">203,519</w:t>
      </w:r>
      <w:r>
        <w:t xml:space="preserve"> records. The larger figure was a raw-line miscount inflated by ~12 embedded-newline text fields (spec was right).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b/>
          <w:bCs/>
        </w:rPr>
        <w:t xml:space="preserve">Analysis window: </w:t>
      </w:r>
      <w:r>
        <w:t xml:space="preserve">v1.0 assumed 2023-only. Orders actually span </w:t>
      </w:r>
      <w:r>
        <w:rPr>
          <w:b/>
          <w:bCs/>
        </w:rPr>
        <w:t xml:space="preserve">2020-04-21 → 2024-02-21</w:t>
      </w:r>
      <w:r>
        <w:t xml:space="preserve">; the 2023 </w:t>
      </w:r>
      <w:r>
        <w:rPr>
          <w:rFonts w:ascii="Consolas" w:cs="Consolas" w:eastAsia="Consolas" w:hAnsi="Consolas"/>
          <w:sz w:val="18"/>
          <w:szCs w:val="18"/>
        </w:rPr>
        <w:t xml:space="preserve">date_dim</w:t>
      </w:r>
      <w:r>
        <w:t xml:space="preserve"> matches only 39.6% of them. The calendar must be regenerated (see §4.3 🚩A, decision D1).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b/>
          <w:bCs/>
        </w:rPr>
        <w:t xml:space="preserve">Discount signal: </w:t>
      </w:r>
      <w:r>
        <w:t xml:space="preserve">v1.0's net-revenue formula assumed </w:t>
      </w:r>
      <w:r>
        <w:rPr>
          <w:rFonts w:ascii="Consolas" w:cs="Consolas" w:eastAsia="Consolas" w:hAnsi="Consolas"/>
          <w:sz w:val="18"/>
          <w:szCs w:val="18"/>
        </w:rPr>
        <w:t xml:space="preserve">OPTION_PRICE &lt; 0</w:t>
      </w:r>
      <w:r>
        <w:t xml:space="preserve"> marks discounts. </w:t>
      </w:r>
      <w:r>
        <w:rPr>
          <w:b/>
          <w:bCs/>
        </w:rPr>
        <w:t xml:space="preserve">No negative price exists in either file</w:t>
      </w:r>
      <w:r>
        <w:t xml:space="preserve"> — the discount metric has no data as specified (see §4.3 🚩B, decision D2).</w:t>
      </w:r>
    </w:p>
    <w:p>
      <w:pPr>
        <w:pStyle w:val="Heading2"/>
        <w:spacing w:after="100" w:before="180"/>
      </w:pPr>
      <w:r>
        <w:rPr>
          <w:b/>
          <w:bCs/>
          <w:color w:val="2E5496"/>
          <w:sz w:val="24"/>
          <w:szCs w:val="24"/>
        </w:rPr>
        <w:t xml:space="preserve">Changes in v1.2 (SME decisions — build release)</w:t>
      </w:r>
    </w:p>
    <w:p>
      <w:pPr>
        <w:spacing w:after="120" w:line="276"/>
      </w:pPr>
      <w:r>
        <w:rPr>
          <w:b/>
          <w:bCs/>
          <w:color w:val="1E6B2F"/>
          <w:sz w:val="18"/>
          <w:szCs w:val="18"/>
        </w:rPr>
        <w:t xml:space="preserve">[FACT] </w:t>
      </w:r>
      <w:r>
        <w:t xml:space="preserve">SME Bansari Modi approved the architecture and authorised implementation (Slack, July 07, 2026; recorded in §16). Two decisions are now final and carried through this document: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b/>
          <w:bCs/>
          <w:color w:val="1E6B2F"/>
        </w:rPr>
        <w:t xml:space="preserve">D1 — APPROVED as proposed. </w:t>
      </w:r>
      <w:r>
        <w:t xml:space="preserve">Regenerate the calendar dimension programmatically in Silver to span the true order range (2020–2024); analysis window = full order history.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b/>
          <w:bCs/>
          <w:color w:val="9C6500"/>
        </w:rPr>
        <w:t xml:space="preserve">D2 — descope &amp; document (SME ruling). </w:t>
      </w:r>
      <w:r>
        <w:t xml:space="preserve">The dataset contains no discount data, so the originally specified "Pricing &amp; Discount Effectiveness" analysis </w:t>
      </w:r>
      <w:r>
        <w:rPr>
          <w:b/>
          <w:bCs/>
        </w:rPr>
        <w:t xml:space="preserve">cannot be performed</w:t>
      </w:r>
      <w:r>
        <w:t xml:space="preserve"> and is documented as a data limitation. This supersedes v1.1's proposed "redefine as add-on revenue" resolution, which the SME did not adopt. An add-on / modifier revenue view is retained only as an </w:t>
      </w:r>
      <w:r>
        <w:rPr>
          <w:i/>
          <w:iCs/>
        </w:rPr>
        <w:t xml:space="preserve">optional supplement</w:t>
      </w:r>
      <w:r>
        <w:t xml:space="preserve"> to preserve six dashboard slots — it is not presented as a discount analysis.</w:t>
      </w:r>
    </w:p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1F3864"/>
          <w:sz w:val="30"/>
          <w:szCs w:val="30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1F3864"/>
          <w:sz w:val="30"/>
          <w:szCs w:val="30"/>
        </w:rPr>
        <w:t xml:space="preserve">1. Executive Summary</w:t>
      </w:r>
    </w:p>
    <w:p>
      <w:pPr>
        <w:spacing w:after="120" w:line="276"/>
      </w:pPr>
      <w:r>
        <w:t xml:space="preserve">DE Global Partners is a production-grade, AWS-native data pipeline that turns Alltown Fresh restaurant/c-store ordering data into a daily-evolving view of customer value. It ingests three source tables from SQL Server via JDBC, refines them through a Delta Lake medallion architecture (Bronze → Silver → Gold) using PySpark on AWS Glue, and computes a primary metric — Customer Lifetime Value (CLV) as a daily snapshot per customer — plus six supporting analytic domains served through an interactive Streamlit dashboard.</w:t>
      </w:r>
    </w:p>
    <w:p>
      <w:pPr>
        <w:spacing w:after="120" w:line="276"/>
      </w:pPr>
      <w:r>
        <w:t xml:space="preserve">The design satisfies every hard constraint in the assessment: AWS resources only, all transformation logic in PySpark, SQL-Server-as-source, daily batch with scheduling, encryption in transit and at rest, a failure-reload mechanism, GitHub CI/CD, and an explicit rationale for every technology choice. This is the artifact submitted for SME approval; per the assessment, no build begins until that sign-off is recorded in §16.</w:t>
      </w:r>
    </w:p>
    <w:p>
      <w:pPr>
        <w:spacing w:after="120" w:line="276"/>
      </w:pPr>
      <w:r>
        <w:rPr>
          <w:b/>
          <w:bCs/>
          <w:color w:val="1E6B2F"/>
          <w:sz w:val="18"/>
          <w:szCs w:val="18"/>
        </w:rPr>
        <w:t xml:space="preserve">[FACT] </w:t>
      </w:r>
      <w:r>
        <w:t xml:space="preserve">Source data validated by direct read of all three CSVs: </w:t>
      </w:r>
      <w:r>
        <w:rPr>
          <w:rFonts w:ascii="Consolas" w:cs="Consolas" w:eastAsia="Consolas" w:hAnsi="Consolas"/>
          <w:sz w:val="18"/>
          <w:szCs w:val="18"/>
        </w:rPr>
        <w:t xml:space="preserve">order_items</w:t>
      </w:r>
      <w:r>
        <w:t xml:space="preserve"> = 203,519 records; </w:t>
      </w:r>
      <w:r>
        <w:rPr>
          <w:rFonts w:ascii="Consolas" w:cs="Consolas" w:eastAsia="Consolas" w:hAnsi="Consolas"/>
          <w:sz w:val="18"/>
          <w:szCs w:val="18"/>
        </w:rPr>
        <w:t xml:space="preserve">order_item_options</w:t>
      </w:r>
      <w:r>
        <w:t xml:space="preserve"> = 193,017 rows (190,718 after de-duplication); </w:t>
      </w:r>
      <w:r>
        <w:rPr>
          <w:rFonts w:ascii="Consolas" w:cs="Consolas" w:eastAsia="Consolas" w:hAnsi="Consolas"/>
          <w:sz w:val="18"/>
          <w:szCs w:val="18"/>
        </w:rPr>
        <w:t xml:space="preserve">date_dim</w:t>
      </w:r>
      <w:r>
        <w:t xml:space="preserve"> = 365 rows (2023 only). Orders span 2020–2024; gross item revenue = $9,933,754.69; 20,174 identified customers across 28 locations; 22.6% loyalty share.</w:t>
      </w:r>
    </w:p>
    <w:p>
      <w:pPr>
        <w:spacing w:after="120" w:line="276"/>
      </w:pPr>
      <w:r>
        <w:rPr>
          <w:b/>
          <w:bCs/>
          <w:color w:val="1E6B2F"/>
          <w:sz w:val="18"/>
          <w:szCs w:val="18"/>
        </w:rPr>
        <w:t xml:space="preserve">[FACT] </w:t>
      </w:r>
      <w:r>
        <w:t xml:space="preserve">Two QA findings are now resolved by SME decision (§16): (D1) the calendar dimension is regenerated to cover 2020–2024, not 2023; and (D2) the dataset has no discount signal, so the specified "discount effectiveness" analysis is documented as not feasible rather than fabricated. Both are detailed in §4.3.</w:t>
      </w:r>
    </w:p>
    <w:p>
      <w:pPr>
        <w:spacing w:after="120" w:line="276"/>
      </w:pPr>
      <w:r>
        <w:rPr>
          <w:b/>
          <w:bCs/>
          <w:color w:val="9C1C1C"/>
          <w:sz w:val="18"/>
          <w:szCs w:val="18"/>
        </w:rPr>
        <w:t xml:space="preserve">[NEEDS-VALIDATION] </w:t>
      </w:r>
      <w:r>
        <w:t xml:space="preserve">Delivery timeline is the binding risk: three calendar days to design-approve-build-deploy-document. §13 gives a critical path and a descope fallback that protects the July 10 date.</w:t>
      </w:r>
    </w:p>
    <w:p>
      <w:pPr>
        <w:pStyle w:val="Heading1"/>
        <w:spacing w:after="120" w:before="260"/>
      </w:pPr>
      <w:r>
        <w:rPr>
          <w:b/>
          <w:bCs/>
          <w:color w:val="1F3864"/>
          <w:sz w:val="30"/>
          <w:szCs w:val="30"/>
        </w:rPr>
        <w:t xml:space="preserve">2. Problem Definition &amp; Objective Function</w:t>
      </w:r>
    </w:p>
    <w:p>
      <w:pPr>
        <w:pStyle w:val="Heading2"/>
        <w:spacing w:after="100" w:before="180"/>
      </w:pPr>
      <w:r>
        <w:rPr>
          <w:b/>
          <w:bCs/>
          <w:color w:val="2E5496"/>
          <w:sz w:val="24"/>
          <w:szCs w:val="24"/>
        </w:rPr>
        <w:t xml:space="preserve">2.1 Problem</w:t>
      </w:r>
    </w:p>
    <w:p>
      <w:pPr>
        <w:spacing w:after="120" w:line="276"/>
      </w:pPr>
      <w:r>
        <w:t xml:space="preserve">Global Partners lacks a unified, daily-refreshed view of customer behaviour and spend across Alltown Fresh locations and ordering platforms. Without it, the business cannot reliably prioritise high-value customers, detect churn risk early, measure loyalty-program ROI, rank locations, or quantify how paid add-ons and pricing affect revenue. The core engineering problem is to build a repeatable, production-grade pipeline that computes CLV daily and shows how each customer's value evolves over their entire relationship, alongside supporting metrics.</w:t>
      </w:r>
    </w:p>
    <w:p>
      <w:pPr>
        <w:pStyle w:val="Heading2"/>
        <w:spacing w:after="100" w:before="180"/>
      </w:pPr>
      <w:r>
        <w:rPr>
          <w:b/>
          <w:bCs/>
          <w:color w:val="2E5496"/>
          <w:sz w:val="24"/>
          <w:szCs w:val="24"/>
        </w:rPr>
        <w:t xml:space="preserve">2.2 Objective Function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72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Maximise</w:t>
            </w:r>
          </w:p>
        </w:tc>
        <w:tc>
          <w:tcPr>
            <w:tcW w:type="dxa" w:w="7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Analytic fidelity (correct, reconciled metrics), pipeline reliability (idempotent, reload-safe daily runs), and decision usefulness (6 dashboards answering named business questions).</w:t>
            </w:r>
          </w:p>
        </w:tc>
      </w:tr>
      <w:tr>
        <w:tc>
          <w:tcPr>
            <w:tcW w:type="dxa" w:w="21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Minimise</w:t>
            </w:r>
          </w:p>
        </w:tc>
        <w:tc>
          <w:tcPr>
            <w:tcW w:type="dxa" w:w="726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Monthly cloud cost, irreversible rework, and manual intervention — while preserving full pipeline, transformation, and insight capability.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7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AWS-only; PySpark-only logic; source = SQL Server (JDBC); daily batch + schedule + encryption + failure-reload; CI/CD via GitHub; SME gate before build; WHY per tech choice.</w:t>
            </w:r>
          </w:p>
        </w:tc>
      </w:tr>
      <w:tr>
        <w:tc>
          <w:tcPr>
            <w:tcW w:type="dxa" w:w="21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Success metrics</w:t>
            </w:r>
          </w:p>
        </w:tc>
        <w:tc>
          <w:tcPr>
            <w:tcW w:type="dxa" w:w="726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See §14 (KPIs): run success, idempotent re-run parity, row-count reconciliation to 203,519, tier-proportion check (≈20/60/20), dashboard load &lt; 3s, failure alert &lt; 5 min, spend within target band.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F3864"/>
          <w:sz w:val="30"/>
          <w:szCs w:val="30"/>
        </w:rPr>
        <w:t xml:space="preserve">3. Scope</w:t>
      </w:r>
    </w:p>
    <w:p>
      <w:pPr>
        <w:pStyle w:val="Heading2"/>
        <w:spacing w:after="100" w:before="180"/>
      </w:pPr>
      <w:r>
        <w:rPr>
          <w:b/>
          <w:bCs/>
          <w:color w:val="2E5496"/>
          <w:sz w:val="24"/>
          <w:szCs w:val="24"/>
        </w:rPr>
        <w:t xml:space="preserve">3.1 In scope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t xml:space="preserve">SQL Server → Glue JDBC ingestion to S3 Bronze (Delta).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t xml:space="preserve">PySpark transformation through Silver and Gold (medallion).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t xml:space="preserve">Primary: daily CLV snapshot fact per customer. Secondary: RFM segmentation, churn indicators, sales trends, loyalty impact, location performance, and — in place of the non-feasible discount analysis (D2) — a documented data-limitation panel with an optional supplementary add-on / modifier revenue view.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t xml:space="preserve">Daily scheduling, encryption (rest + transit), failure-reload / reprocessing, CloudWatch + SNS ops.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t xml:space="preserve">Streamlit dashboard (6 views) on App Runner; GitHub CI/CD; SDD, diagram, report, deck, video.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t xml:space="preserve">A programmatically generated calendar dimension spanning the true order date range (2020–2024).</w:t>
      </w:r>
    </w:p>
    <w:p>
      <w:pPr>
        <w:pStyle w:val="Heading2"/>
        <w:spacing w:after="100" w:before="180"/>
      </w:pPr>
      <w:r>
        <w:rPr>
          <w:b/>
          <w:bCs/>
          <w:color w:val="2E5496"/>
          <w:sz w:val="24"/>
          <w:szCs w:val="24"/>
        </w:rPr>
        <w:t xml:space="preserve">3.2 Out of scope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t xml:space="preserve">Predictive / ML churn models — analyst-facing indicators only, per the brief (no predictions).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t xml:space="preserve">External tooling (Snowflake, DBT, or any non-AWS SaaS) and any new licences.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t xml:space="preserve">Multi-currency logic — 100% of transactions are USD [FACT].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t xml:space="preserve">Real-time / streaming ingestion — the requirement is a daily batch.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t xml:space="preserve">Discount / promotion effectiveness — SME-confirmed out of scope (D2): the supplied data contains no discount signal (§4.3 🚩B), so the analysis cannot be performed. Documented as a data limitation; reinstated only if a discount-bearing source is later provided.</w:t>
      </w:r>
    </w:p>
    <w:p>
      <w:pPr>
        <w:pStyle w:val="Heading1"/>
        <w:spacing w:after="120" w:before="260"/>
      </w:pPr>
      <w:r>
        <w:rPr>
          <w:b/>
          <w:bCs/>
          <w:color w:val="1F3864"/>
          <w:sz w:val="30"/>
          <w:szCs w:val="30"/>
        </w:rPr>
        <w:t xml:space="preserve">4. Source Data &amp; Data-Reality Check</w:t>
      </w:r>
    </w:p>
    <w:p>
      <w:pPr>
        <w:spacing w:after="120" w:line="276"/>
      </w:pPr>
      <w:r>
        <w:t xml:space="preserve">Three source tables, validated by direct inspection of the CSVs (full cross-file QA is retained as SDD §1, a separate deliverable). The requirements document and the actual files diverge in several places; each divergence is resolved here rather than mid-build.</w:t>
      </w:r>
    </w:p>
    <w:p>
      <w:pPr>
        <w:pStyle w:val="Heading2"/>
        <w:spacing w:after="100" w:before="180"/>
      </w:pPr>
      <w:r>
        <w:rPr>
          <w:b/>
          <w:bCs/>
          <w:color w:val="2E5496"/>
          <w:sz w:val="24"/>
          <w:szCs w:val="24"/>
        </w:rPr>
        <w:t xml:space="preserve">4.1 Tables, grain, and keys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1900"/>
        <w:gridCol w:w="1500"/>
        <w:gridCol w:w="2200"/>
        <w:gridCol w:w="3760"/>
      </w:tblGrid>
      <w:tr>
        <w:trPr>
          <w:tblHeader/>
        </w:trPr>
        <w:tc>
          <w:tcPr>
            <w:tcW w:type="dxa" w:w="19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1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Rows [FACT]</w:t>
            </w:r>
          </w:p>
        </w:tc>
        <w:tc>
          <w:tcPr>
            <w:tcW w:type="dxa" w:w="22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Grain</w:t>
            </w:r>
          </w:p>
        </w:tc>
        <w:tc>
          <w:tcPr>
            <w:tcW w:type="dxa" w:w="37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Keys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order_items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203,519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one row per order line item</w:t>
            </w:r>
          </w:p>
        </w:tc>
        <w:tc>
          <w:tcPr>
            <w:tcW w:type="dxa" w:w="3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ORDER_ID + LINEITEM_ID (unique); USER_ID (customer, 8.75% null = guest); RESTAURANT_ID (location); CREATION_TIME_UTC</w:t>
            </w:r>
          </w:p>
        </w:tc>
      </w:tr>
      <w:tr>
        <w:tc>
          <w:tcPr>
            <w:tcW w:type="dxa" w:w="19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order_item_options</w:t>
            </w:r>
          </w:p>
        </w:tc>
        <w:tc>
          <w:tcPr>
            <w:tcW w:type="dxa" w:w="15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193,017 (190,718 deduped)</w:t>
            </w:r>
          </w:p>
        </w:tc>
        <w:tc>
          <w:tcPr>
            <w:tcW w:type="dxa" w:w="22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one row per modifier / add-on</w:t>
            </w:r>
          </w:p>
        </w:tc>
        <w:tc>
          <w:tcPr>
            <w:tcW w:type="dxa" w:w="376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joins order_items on (ORDER_ID, LINEITEM_ID); 99.99% referential integrity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date_dim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365 (2023 only)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one row per calendar day</w:t>
            </w:r>
          </w:p>
        </w:tc>
        <w:tc>
          <w:tcPr>
            <w:tcW w:type="dxa" w:w="3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date_key (DD-MM-YYYY) → parsed DATE; must be extended to 2020–2024</w:t>
            </w:r>
          </w:p>
        </w:tc>
      </w:tr>
    </w:tbl>
    <w:p>
      <w:pPr>
        <w:spacing w:after="120" w:line="276"/>
      </w:pPr>
      <w:r>
        <w:rPr>
          <w:b/>
          <w:bCs/>
          <w:color w:val="1E6B2F"/>
          <w:sz w:val="18"/>
          <w:szCs w:val="18"/>
        </w:rPr>
        <w:t xml:space="preserve">[FACT] </w:t>
      </w:r>
      <w:r>
        <w:t xml:space="preserve">Ground-truth profile: 20,174 identified customers + 17,808 guest line-items; 28 locations; 45 item categories; loyalty share 22.6% (46,084 of 203,519); referential integrity </w:t>
      </w:r>
      <w:r>
        <w:rPr>
          <w:rFonts w:ascii="Consolas" w:cs="Consolas" w:eastAsia="Consolas" w:hAnsi="Consolas"/>
          <w:sz w:val="17"/>
          <w:szCs w:val="17"/>
        </w:rPr>
        <w:t xml:space="preserve">order_item_options → order_items</w:t>
      </w:r>
      <w:r>
        <w:t xml:space="preserve"> = 99.99% (15 orphans / 102,712); 50.5% of line-items carry ≥1 option; gross item revenue $9,933,754.69.</w:t>
      </w:r>
    </w:p>
    <w:p>
      <w:pPr>
        <w:pStyle w:val="Heading2"/>
        <w:spacing w:after="100" w:before="180"/>
      </w:pPr>
      <w:r>
        <w:rPr>
          <w:b/>
          <w:bCs/>
          <w:color w:val="2E5496"/>
          <w:sz w:val="24"/>
          <w:szCs w:val="24"/>
        </w:rPr>
        <w:t xml:space="preserve">4.2 Spec-vs-data gaps (resolved in this SDD)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500"/>
        <w:gridCol w:w="2350"/>
        <w:gridCol w:w="2350"/>
        <w:gridCol w:w="4160"/>
      </w:tblGrid>
      <w:tr>
        <w:trPr>
          <w:tblHeader/>
        </w:trPr>
        <w:tc>
          <w:tcPr>
            <w:tcW w:type="dxa" w:w="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Requirements doc says</w:t>
            </w:r>
          </w:p>
        </w:tc>
        <w:tc>
          <w:tcPr>
            <w:tcW w:type="dxa" w:w="23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Data actually shows</w:t>
            </w:r>
          </w:p>
        </w:tc>
        <w:tc>
          <w:tcPr>
            <w:tcW w:type="dxa" w:w="41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Resolution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group by location_id / store_id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only RESTAURANT_ID exists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 RESTAURANT_ID as the location key for all location metrics; state the substitution.</w:t>
            </w:r>
          </w:p>
        </w:tc>
      </w:tr>
      <w:tr>
        <w:tc>
          <w:tcPr>
            <w:tcW w:type="dxa" w:w="5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235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month = name ("January")</w:t>
            </w:r>
          </w:p>
        </w:tc>
        <w:tc>
          <w:tcPr>
            <w:tcW w:type="dxa" w:w="235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month = integer 1–12</w:t>
            </w:r>
          </w:p>
        </w:tc>
        <w:tc>
          <w:tcPr>
            <w:tcW w:type="dxa" w:w="416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Map integer → month name in Silver for display only.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date_key is a Date type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string in DD-MM-YYYY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Parse dayfirst to a real DATE before any calendar join.</w:t>
            </w:r>
          </w:p>
        </w:tc>
      </w:tr>
      <w:tr>
        <w:tc>
          <w:tcPr>
            <w:tcW w:type="dxa" w:w="5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235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customer = customer_id</w:t>
            </w:r>
          </w:p>
        </w:tc>
        <w:tc>
          <w:tcPr>
            <w:tcW w:type="dxa" w:w="235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field is USER_ID, 8.75% null</w:t>
            </w:r>
          </w:p>
        </w:tc>
        <w:tc>
          <w:tcPr>
            <w:tcW w:type="dxa" w:w="416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Nulls = guest orders: exclude from CLV/RFM/churn; retain in revenue totals as a guest bucket.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order_items = 203,519</w:t>
            </w:r>
          </w:p>
        </w:tc>
        <w:tc>
          <w:tcPr>
            <w:tcW w:type="dxa" w:w="2350"/>
            <w:shd w:fill="E7F0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203,519 records (raw lines ≈203,531)</w:t>
            </w:r>
          </w:p>
        </w:tc>
        <w:tc>
          <w:tcPr>
            <w:tcW w:type="dxa" w:w="4160"/>
            <w:shd w:fill="E7F0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RESOLVED [FACT]: 203,519 is correct; the larger count was inflated by embedded newlines. Loader must respect RFC-4180 quoting.</w:t>
            </w:r>
          </w:p>
        </w:tc>
      </w:tr>
      <w:tr>
        <w:tc>
          <w:tcPr>
            <w:tcW w:type="dxa" w:w="5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235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currency (e.g. USD)</w:t>
            </w:r>
          </w:p>
        </w:tc>
        <w:tc>
          <w:tcPr>
            <w:tcW w:type="dxa" w:w="235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100% USD</w:t>
            </w:r>
          </w:p>
        </w:tc>
        <w:tc>
          <w:tcPr>
            <w:tcW w:type="dxa" w:w="416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Treat as single-currency; drop multi-currency handling.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menu category (if available)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ITEM_CATEGORY present (45)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Category breakdowns are feasible and included.</w:t>
            </w:r>
          </w:p>
        </w:tc>
      </w:tr>
      <w:tr>
        <w:tc>
          <w:tcPr>
            <w:tcW w:type="dxa" w:w="5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235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discounts via option_price &lt; 0</w:t>
            </w:r>
          </w:p>
        </w:tc>
        <w:tc>
          <w:tcPr>
            <w:tcW w:type="dxa" w:w="2350"/>
            <w:shd w:fill="F7E7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 negative prices in EITHER file</w:t>
            </w:r>
          </w:p>
        </w:tc>
        <w:tc>
          <w:tcPr>
            <w:tcW w:type="dxa" w:w="4160"/>
            <w:shd w:fill="F7E7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OVERTURNED [NEEDS-VALIDATION]: no discount signal exists; metric redefined — see §4.3 🚩B / decision D2.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9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casing consistent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order tables UPPERCASE; date_dim lowercase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Standardise to lowercase snake_case in Bronze→Silver.</w:t>
            </w:r>
          </w:p>
        </w:tc>
      </w:tr>
    </w:tbl>
    <w:p>
      <w:pPr>
        <w:pStyle w:val="Heading2"/>
        <w:spacing w:after="100" w:before="180"/>
      </w:pPr>
      <w:r>
        <w:rPr>
          <w:b/>
          <w:bCs/>
          <w:color w:val="2E5496"/>
          <w:sz w:val="24"/>
          <w:szCs w:val="24"/>
        </w:rPr>
        <w:t xml:space="preserve">4.3 Critical QA findings requiring SME decision</w:t>
      </w:r>
    </w:p>
    <w:p>
      <w:pPr>
        <w:spacing w:after="120" w:line="276"/>
      </w:pPr>
      <w:r>
        <w:rPr>
          <w:b/>
          <w:bCs/>
          <w:color w:val="9C1C1C"/>
        </w:rPr>
        <w:t xml:space="preserve">🚩 Finding A (D1) — orders span 2020–2024; the calendar covers only 2023.  </w:t>
      </w:r>
      <w:r>
        <w:rPr>
          <w:b/>
          <w:bCs/>
          <w:color w:val="1E6B2F"/>
          <w:sz w:val="18"/>
          <w:szCs w:val="18"/>
        </w:rPr>
        <w:t xml:space="preserve">[FACT] </w:t>
      </w:r>
      <w:r>
        <w:t xml:space="preserve">Year distribution of </w:t>
      </w:r>
      <w:r>
        <w:rPr>
          <w:rFonts w:ascii="Consolas" w:cs="Consolas" w:eastAsia="Consolas" w:hAnsi="Consolas"/>
          <w:sz w:val="18"/>
          <w:szCs w:val="18"/>
        </w:rPr>
        <w:t xml:space="preserve">CREATION_TIME_UTC</w:t>
      </w:r>
      <w:r>
        <w:t xml:space="preserve">: 2020 = 10,210 · 2021 = 43,448 · 2022 = 60,015 · 2023 = 80,579 · 2024 = 9,080. An inner join to the 2023-only </w:t>
      </w:r>
      <w:r>
        <w:rPr>
          <w:rFonts w:ascii="Consolas" w:cs="Consolas" w:eastAsia="Consolas" w:hAnsi="Consolas"/>
          <w:sz w:val="18"/>
          <w:szCs w:val="18"/>
        </w:rPr>
        <w:t xml:space="preserve">date_dim</w:t>
      </w:r>
      <w:r>
        <w:t xml:space="preserve"> matches just 39.6% of orders and would silently drop 122,940 rows (60.4%).</w:t>
      </w:r>
    </w:p>
    <w:p>
      <w:pPr>
        <w:spacing w:after="120" w:line="276"/>
      </w:pPr>
      <w:r>
        <w:rPr>
          <w:b/>
          <w:bCs/>
          <w:color w:val="2E5496"/>
          <w:sz w:val="18"/>
          <w:szCs w:val="18"/>
        </w:rPr>
        <w:t xml:space="preserve">[INFERENCE] </w:t>
      </w:r>
      <w:r>
        <w:t xml:space="preserve">CLV is cumulative over each customer's whole relationship; restricting to 2023 would discard most history and break "how LTV evolves." </w:t>
      </w:r>
      <w:r>
        <w:rPr>
          <w:b/>
          <w:bCs/>
        </w:rPr>
        <w:t xml:space="preserve">Resolution: </w:t>
      </w:r>
      <w:r>
        <w:t xml:space="preserve">generate the calendar dimension programmatically in Silver from </w:t>
      </w:r>
      <w:r>
        <w:rPr>
          <w:rFonts w:ascii="Consolas" w:cs="Consolas" w:eastAsia="Consolas" w:hAnsi="Consolas"/>
          <w:sz w:val="18"/>
          <w:szCs w:val="18"/>
        </w:rPr>
        <w:t xml:space="preserve">min/max(order_date)</w:t>
      </w:r>
      <w:r>
        <w:t xml:space="preserve"> so it always spans the true data range; analysis window = full order history (2020–2024).</w:t>
      </w:r>
    </w:p>
    <w:p>
      <w:pPr>
        <w:spacing w:after="120" w:line="276"/>
      </w:pPr>
      <w:r>
        <w:rPr>
          <w:b/>
          <w:bCs/>
          <w:color w:val="9C1C1C"/>
        </w:rPr>
        <w:t xml:space="preserve">🚩 Finding B (D2) — no discount signal exists anywhere.  </w:t>
      </w:r>
      <w:r>
        <w:rPr>
          <w:b/>
          <w:bCs/>
          <w:color w:val="1E6B2F"/>
          <w:sz w:val="18"/>
          <w:szCs w:val="18"/>
        </w:rPr>
        <w:t xml:space="preserve">[FACT] </w:t>
      </w:r>
      <w:r>
        <w:t xml:space="preserve">Both </w:t>
      </w:r>
      <w:r>
        <w:rPr>
          <w:rFonts w:ascii="Consolas" w:cs="Consolas" w:eastAsia="Consolas" w:hAnsi="Consolas"/>
          <w:sz w:val="18"/>
          <w:szCs w:val="18"/>
        </w:rPr>
        <w:t xml:space="preserve">OPTION_PRICE</w:t>
      </w:r>
      <w:r>
        <w:t xml:space="preserve"> (min 0.00, max 8.00) and </w:t>
      </w:r>
      <w:r>
        <w:rPr>
          <w:rFonts w:ascii="Consolas" w:cs="Consolas" w:eastAsia="Consolas" w:hAnsi="Consolas"/>
          <w:sz w:val="18"/>
          <w:szCs w:val="18"/>
        </w:rPr>
        <w:t xml:space="preserve">ITEM_PRICE</w:t>
      </w:r>
      <w:r>
        <w:t xml:space="preserve"> (min 0.00) have zero negative values. Options are strictly additive; there is nothing to net out.</w:t>
      </w:r>
    </w:p>
    <w:p>
      <w:pPr>
        <w:spacing w:after="120" w:line="276"/>
      </w:pPr>
      <w:r>
        <w:rPr>
          <w:b/>
          <w:bCs/>
          <w:color w:val="1E6B2F"/>
          <w:sz w:val="18"/>
          <w:szCs w:val="18"/>
        </w:rPr>
        <w:t xml:space="preserve">[FACT] </w:t>
      </w:r>
      <w:r>
        <w:t xml:space="preserve">SME ruling (Bansari Modi): the </w:t>
      </w:r>
      <w:r>
        <w:rPr>
          <w:b/>
          <w:bCs/>
        </w:rPr>
        <w:t xml:space="preserve">original discount analysis cannot be performed</w:t>
      </w:r>
      <w:r>
        <w:t xml:space="preserve"> because the dataset contains no discount data, and this is to be documented as a data limitation. </w:t>
      </w:r>
      <w:r>
        <w:rPr>
          <w:b/>
          <w:bCs/>
        </w:rPr>
        <w:t xml:space="preserve">Resolution: </w:t>
      </w:r>
      <w:r>
        <w:t xml:space="preserve">the "Pricing &amp; Discount Effectiveness" metric is </w:t>
      </w:r>
      <w:r>
        <w:rPr>
          <w:b/>
          <w:bCs/>
        </w:rPr>
        <w:t xml:space="preserve">descoped</w:t>
      </w:r>
      <w:r>
        <w:t xml:space="preserve"> and its absence explained in the deliverables. To preserve the six required dashboard slots, the sixth view is a data-limitation panel plus an </w:t>
      </w:r>
      <w:r>
        <w:rPr>
          <w:i/>
          <w:iCs/>
        </w:rPr>
        <w:t xml:space="preserve">optional</w:t>
      </w:r>
      <w:r>
        <w:t xml:space="preserve"> supplementary add-on / modifier revenue view (attach-rate and paid-modifier revenue lift — 50.5% of line-items carry an option; 33.7% of option rows are paid). This supplement is clearly labelled and is </w:t>
      </w:r>
      <w:r>
        <w:rPr>
          <w:b/>
          <w:bCs/>
        </w:rPr>
        <w:t xml:space="preserve">not</w:t>
      </w:r>
      <w:r>
        <w:t xml:space="preserve"> presented as a discount analysis.</w:t>
      </w:r>
    </w:p>
    <w:p>
      <w:pPr>
        <w:spacing w:after="120" w:line="276"/>
      </w:pPr>
      <w:r>
        <w:rPr>
          <w:b/>
          <w:bCs/>
          <w:color w:val="9C6500"/>
          <w:sz w:val="18"/>
          <w:szCs w:val="18"/>
        </w:rPr>
        <w:t xml:space="preserve">[ASSUMPTION] </w:t>
      </w:r>
      <w:r>
        <w:t xml:space="preserve">Data-cleaning rules adopted in Bronze→Silver: drop 1 malformed record (embedded-newline artifact, qty=0); exclude 826 </w:t>
      </w:r>
      <w:r>
        <w:rPr>
          <w:rFonts w:ascii="Consolas" w:cs="Consolas" w:eastAsia="Consolas" w:hAnsi="Consolas"/>
          <w:sz w:val="17"/>
          <w:szCs w:val="17"/>
        </w:rPr>
        <w:t xml:space="preserve">APP_NAME = 'Alltown Fresh - DEVELOPMENT'</w:t>
      </w:r>
      <w:r>
        <w:t xml:space="preserve"> test rows; parse timestamps as ISO-8601 (recovers 187 rows that lack fractional seconds — not corrupt); de-duplicate 2,299 identical option rows; treat null USER_ID as guest.</w:t>
      </w:r>
    </w:p>
    <w:p>
      <w:pPr>
        <w:pStyle w:val="Heading1"/>
        <w:spacing w:after="120" w:before="260"/>
      </w:pPr>
      <w:r>
        <w:rPr>
          <w:b/>
          <w:bCs/>
          <w:color w:val="1F3864"/>
          <w:sz w:val="30"/>
          <w:szCs w:val="30"/>
        </w:rPr>
        <w:t xml:space="preserve">5. Assumptions (for SME ratification)</w:t>
      </w:r>
    </w:p>
    <w:p>
      <w:pPr>
        <w:spacing w:after="120" w:line="276"/>
      </w:pPr>
      <w:r>
        <w:t xml:space="preserve">The following working premises are carried into the design and remain open to SME ratification at sign-off.</w:t>
      </w:r>
    </w:p>
    <w:p>
      <w:pPr>
        <w:spacing w:after="120" w:line="276"/>
      </w:pPr>
      <w:r>
        <w:rPr>
          <w:b/>
          <w:bCs/>
          <w:color w:val="9C6500"/>
          <w:sz w:val="18"/>
          <w:szCs w:val="18"/>
        </w:rPr>
        <w:t xml:space="preserve">[ASSUMPTION] </w:t>
      </w:r>
      <w:r>
        <w:t xml:space="preserve">CLV = cumulative net historical revenue to date — a descriptive measure, not a predictive / discounted-future model (consistent with the brief's "no predictions" instruction). "Net" here means item revenue plus paid add-ons; with no discounts in the data, net ≥ gross always.</w:t>
      </w:r>
    </w:p>
    <w:p>
      <w:pPr>
        <w:spacing w:after="120" w:line="276"/>
      </w:pPr>
      <w:r>
        <w:rPr>
          <w:b/>
          <w:bCs/>
          <w:color w:val="9C6500"/>
          <w:sz w:val="18"/>
          <w:szCs w:val="18"/>
        </w:rPr>
        <w:t xml:space="preserve">[ASSUMPTION] </w:t>
      </w:r>
      <w:r>
        <w:t xml:space="preserve">"Daily evolution" = a cumulative daily snapshot per customer (grain USER_ID × snapshot_date).</w:t>
      </w:r>
    </w:p>
    <w:p>
      <w:pPr>
        <w:spacing w:after="120" w:line="276"/>
      </w:pPr>
      <w:r>
        <w:rPr>
          <w:b/>
          <w:bCs/>
          <w:color w:val="1E6B2F"/>
          <w:sz w:val="18"/>
          <w:szCs w:val="18"/>
        </w:rPr>
        <w:t xml:space="preserve">[FACT] </w:t>
      </w:r>
      <w:r>
        <w:t xml:space="preserve">RATIFIED (D1). Analysis window = the full order history 2020–2024 (superseding v1.0's 2023-only premise); the calendar dimension is regenerated to match. Approved by SME, §16.</w:t>
      </w:r>
    </w:p>
    <w:p>
      <w:pPr>
        <w:spacing w:after="120" w:line="276"/>
      </w:pPr>
      <w:r>
        <w:rPr>
          <w:b/>
          <w:bCs/>
          <w:color w:val="1E6B2F"/>
          <w:sz w:val="18"/>
          <w:szCs w:val="18"/>
        </w:rPr>
        <w:t xml:space="preserve">[FACT] </w:t>
      </w:r>
      <w:r>
        <w:t xml:space="preserve">RATIFIED (D2). The specified discount-effectiveness analysis is out of scope for lack of any discount signal; documented as a data limitation. Approved by SME, §16. An add-on / modifier revenue view is retained only as an optional supplement.</w:t>
      </w:r>
    </w:p>
    <w:p>
      <w:pPr>
        <w:pStyle w:val="Heading1"/>
        <w:spacing w:after="120" w:before="260"/>
      </w:pPr>
      <w:r>
        <w:rPr>
          <w:b/>
          <w:bCs/>
          <w:color w:val="1F3864"/>
          <w:sz w:val="30"/>
          <w:szCs w:val="30"/>
        </w:rPr>
        <w:t xml:space="preserve">6. Solution Architecture</w:t>
      </w:r>
    </w:p>
    <w:p>
      <w:pPr>
        <w:spacing w:after="120" w:line="276"/>
      </w:pPr>
      <w:r>
        <w:t xml:space="preserve">End-to-end flow (a draw.io diagram accompanies this SDD as a separate deliverable):</w:t>
      </w:r>
    </w:p>
    <w:p>
      <w:pPr>
        <w:shd w:fill="EEF2F8" w:color="auto" w:val="clear"/>
        <w:spacing w:after="140"/>
      </w:pPr>
      <w:r>
        <w:rPr>
          <w:b/>
          <w:bCs/>
          <w:sz w:val="19"/>
          <w:szCs w:val="19"/>
        </w:rPr>
        <w:t xml:space="preserve">SQL Server (Windows) → AWS Glue JDBC ingest → S3 Bronze (Delta) → Glue ETL (PySpark) → S3 Silver (Delta) → Glue ETL (PySpark) → S3 Gold (Delta) → Athena (engine v3) + pyathena → Streamlit on App Runner. </w:t>
      </w:r>
      <w:r>
        <w:rPr>
          <w:sz w:val="19"/>
          <w:szCs w:val="19"/>
        </w:rPr>
        <w:t xml:space="preserve">Cross-cutting: Glue Workflows (schedule / orchestration), Job Bookmarks, CloudWatch + SNS (ops / alerts), Secrets Manager + KMS (secrets / encryption), IAM least-privilege.</w:t>
      </w:r>
    </w:p>
    <w:p>
      <w:pPr>
        <w:pStyle w:val="Heading2"/>
        <w:spacing w:after="100" w:before="180"/>
      </w:pPr>
      <w:r>
        <w:rPr>
          <w:b/>
          <w:bCs/>
          <w:color w:val="2E5496"/>
          <w:sz w:val="24"/>
          <w:szCs w:val="24"/>
        </w:rPr>
        <w:t xml:space="preserve">6.1 Component choices — with WHY</w:t>
      </w:r>
    </w:p>
    <w:p>
      <w:pPr>
        <w:spacing w:after="20" w:before="100"/>
      </w:pPr>
      <w:r>
        <w:rPr>
          <w:b/>
          <w:bCs/>
          <w:color w:val="1F3864"/>
          <w:sz w:val="20"/>
          <w:szCs w:val="20"/>
        </w:rPr>
        <w:t xml:space="preserve">Ingestion — AWS Glue (Spark) JDBC → S3 Bronze</w:t>
      </w:r>
    </w:p>
    <w:p>
      <w:pPr>
        <w:pBdr>
          <w:left w:val="single" w:color="2E5496" w:sz="18" w:space="12"/>
        </w:pBdr>
        <w:spacing w:after="140" w:before="60" w:line="268"/>
        <w:ind w:left="220"/>
      </w:pPr>
      <w:r>
        <w:rPr>
          <w:b/>
          <w:bCs/>
          <w:color w:val="2E5496"/>
        </w:rPr>
        <w:t xml:space="preserve">WHY  </w:t>
      </w:r>
      <w:r>
        <w:rPr>
          <w:i/>
          <w:iCs/>
          <w:color w:val="333333"/>
        </w:rPr>
        <w:t xml:space="preserve">Native AWS connector to SQL Server; Spark JDBC parallel reads scale later; no third-party ingestion tool, honouring the AWS-only constraint.</w:t>
      </w:r>
    </w:p>
    <w:p>
      <w:pPr>
        <w:spacing w:after="20" w:before="100"/>
      </w:pPr>
      <w:r>
        <w:rPr>
          <w:b/>
          <w:bCs/>
          <w:color w:val="1F3864"/>
          <w:sz w:val="20"/>
          <w:szCs w:val="20"/>
        </w:rPr>
        <w:t xml:space="preserve">Infrastructure — boto3</w:t>
      </w:r>
    </w:p>
    <w:p>
      <w:pPr>
        <w:pBdr>
          <w:left w:val="single" w:color="2E5496" w:sz="18" w:space="12"/>
        </w:pBdr>
        <w:spacing w:after="140" w:before="60" w:line="268"/>
        <w:ind w:left="220"/>
      </w:pPr>
      <w:r>
        <w:rPr>
          <w:b/>
          <w:bCs/>
          <w:color w:val="2E5496"/>
        </w:rPr>
        <w:t xml:space="preserve">WHY  </w:t>
      </w:r>
      <w:r>
        <w:rPr>
          <w:i/>
          <w:iCs/>
          <w:color w:val="333333"/>
        </w:rPr>
        <w:t xml:space="preserve">Demonstrates hands-on DE skill and avoids managing IaC state; faster than Terraform/CDK for a solo, deadline-bound build. (Alternatives weighed in §11.)</w:t>
      </w:r>
    </w:p>
    <w:p>
      <w:pPr>
        <w:spacing w:after="20" w:before="100"/>
      </w:pPr>
      <w:r>
        <w:rPr>
          <w:b/>
          <w:bCs/>
          <w:color w:val="1F3864"/>
          <w:sz w:val="20"/>
          <w:szCs w:val="20"/>
        </w:rPr>
        <w:t xml:space="preserve">Transformation — AWS Glue ETL (PySpark)</w:t>
      </w:r>
    </w:p>
    <w:p>
      <w:pPr>
        <w:pBdr>
          <w:left w:val="single" w:color="2E5496" w:sz="18" w:space="12"/>
        </w:pBdr>
        <w:spacing w:after="140" w:before="60" w:line="268"/>
        <w:ind w:left="220"/>
      </w:pPr>
      <w:r>
        <w:rPr>
          <w:b/>
          <w:bCs/>
          <w:color w:val="2E5496"/>
        </w:rPr>
        <w:t xml:space="preserve">WHY  </w:t>
      </w:r>
      <w:r>
        <w:rPr>
          <w:i/>
          <w:iCs/>
          <w:color w:val="333333"/>
        </w:rPr>
        <w:t xml:space="preserve">Satisfies the PySpark-only mandate on serverless Spark; no cluster to run or pay for when idle.</w:t>
      </w:r>
    </w:p>
    <w:p>
      <w:pPr>
        <w:spacing w:after="20" w:before="100"/>
      </w:pPr>
      <w:r>
        <w:rPr>
          <w:b/>
          <w:bCs/>
          <w:color w:val="1F3864"/>
          <w:sz w:val="20"/>
          <w:szCs w:val="20"/>
        </w:rPr>
        <w:t xml:space="preserve">Storage — S3 + Delta Lake, medallion Bronze→Silver→Gold</w:t>
      </w:r>
    </w:p>
    <w:p>
      <w:pPr>
        <w:pBdr>
          <w:left w:val="single" w:color="2E5496" w:sz="18" w:space="12"/>
        </w:pBdr>
        <w:spacing w:after="140" w:before="60" w:line="268"/>
        <w:ind w:left="220"/>
      </w:pPr>
      <w:r>
        <w:rPr>
          <w:b/>
          <w:bCs/>
          <w:color w:val="2E5496"/>
        </w:rPr>
        <w:t xml:space="preserve">WHY  </w:t>
      </w:r>
      <w:r>
        <w:rPr>
          <w:i/>
          <w:iCs/>
          <w:color w:val="333333"/>
        </w:rPr>
        <w:t xml:space="preserve">Delta gives ACID writes, schema enforcement, and time-travel — the backbone of the idempotent failure-reload in §9. Medallion separates raw, conformed, and business layers cleanly.</w:t>
      </w:r>
    </w:p>
    <w:p>
      <w:pPr>
        <w:spacing w:after="20" w:before="100"/>
      </w:pPr>
      <w:r>
        <w:rPr>
          <w:b/>
          <w:bCs/>
          <w:color w:val="1F3864"/>
          <w:sz w:val="20"/>
          <w:szCs w:val="20"/>
        </w:rPr>
        <w:t xml:space="preserve">Orchestration — Glue Workflows + triggers + Job Bookmarks</w:t>
      </w:r>
    </w:p>
    <w:p>
      <w:pPr>
        <w:pBdr>
          <w:left w:val="single" w:color="2E5496" w:sz="18" w:space="12"/>
        </w:pBdr>
        <w:spacing w:after="140" w:before="60" w:line="268"/>
        <w:ind w:left="220"/>
      </w:pPr>
      <w:r>
        <w:rPr>
          <w:b/>
          <w:bCs/>
          <w:color w:val="2E5496"/>
        </w:rPr>
        <w:t xml:space="preserve">WHY  </w:t>
      </w:r>
      <w:r>
        <w:rPr>
          <w:i/>
          <w:iCs/>
          <w:color w:val="333333"/>
        </w:rPr>
        <w:t xml:space="preserve">AWS-native, zero additional infra cost (unlike MWAA/Airflow), with built-in scheduling, job dependencies, and incremental bookmarks — the cheapest path meeting the daily-batch requirement.</w:t>
      </w:r>
    </w:p>
    <w:p>
      <w:pPr>
        <w:spacing w:after="20" w:before="100"/>
      </w:pPr>
      <w:r>
        <w:rPr>
          <w:b/>
          <w:bCs/>
          <w:color w:val="1F3864"/>
          <w:sz w:val="20"/>
          <w:szCs w:val="20"/>
        </w:rPr>
        <w:t xml:space="preserve">Query — Amazon Athena engine v3 + pyathena</w:t>
      </w:r>
    </w:p>
    <w:p>
      <w:pPr>
        <w:pBdr>
          <w:left w:val="single" w:color="2E5496" w:sz="18" w:space="12"/>
        </w:pBdr>
        <w:spacing w:after="140" w:before="60" w:line="268"/>
        <w:ind w:left="220"/>
      </w:pPr>
      <w:r>
        <w:rPr>
          <w:b/>
          <w:bCs/>
          <w:color w:val="2E5496"/>
        </w:rPr>
        <w:t xml:space="preserve">WHY  </w:t>
      </w:r>
      <w:r>
        <w:rPr>
          <w:i/>
          <w:iCs/>
          <w:color w:val="333333"/>
        </w:rPr>
        <w:t xml:space="preserve">Serverless, pay-per-scan, no cluster. Engine v3 is set EXPLICITLY at the workgroup — v2 is the default and cannot read Delta.</w:t>
      </w:r>
    </w:p>
    <w:p>
      <w:pPr>
        <w:spacing w:after="20" w:before="100"/>
      </w:pPr>
      <w:r>
        <w:rPr>
          <w:b/>
          <w:bCs/>
          <w:color w:val="1F3864"/>
          <w:sz w:val="20"/>
          <w:szCs w:val="20"/>
        </w:rPr>
        <w:t xml:space="preserve">Serving — Streamlit on AWS App Runner</w:t>
      </w:r>
    </w:p>
    <w:p>
      <w:pPr>
        <w:pBdr>
          <w:left w:val="single" w:color="2E5496" w:sz="18" w:space="12"/>
        </w:pBdr>
        <w:spacing w:after="140" w:before="60" w:line="268"/>
        <w:ind w:left="220"/>
      </w:pPr>
      <w:r>
        <w:rPr>
          <w:b/>
          <w:bCs/>
          <w:color w:val="2E5496"/>
        </w:rPr>
        <w:t xml:space="preserve">WHY  </w:t>
      </w:r>
      <w:r>
        <w:rPr>
          <w:i/>
          <w:iCs/>
          <w:color w:val="333333"/>
        </w:rPr>
        <w:t xml:space="preserve">Simplest managed container with HTTPS and autoscaling; stays AWS-native. Cost managed by pausing the service between demos (§10).</w:t>
      </w:r>
    </w:p>
    <w:p>
      <w:pPr>
        <w:spacing w:after="20" w:before="100"/>
      </w:pPr>
      <w:r>
        <w:rPr>
          <w:b/>
          <w:bCs/>
          <w:color w:val="1F3864"/>
          <w:sz w:val="20"/>
          <w:szCs w:val="20"/>
        </w:rPr>
        <w:t xml:space="preserve">Ops — CloudWatch, SNS, Secrets Manager, KMS, IAM</w:t>
      </w:r>
    </w:p>
    <w:p>
      <w:pPr>
        <w:pBdr>
          <w:left w:val="single" w:color="2E5496" w:sz="18" w:space="12"/>
        </w:pBdr>
        <w:spacing w:after="140" w:before="60" w:line="268"/>
        <w:ind w:left="220"/>
      </w:pPr>
      <w:r>
        <w:rPr>
          <w:b/>
          <w:bCs/>
          <w:color w:val="2E5496"/>
        </w:rPr>
        <w:t xml:space="preserve">WHY  </w:t>
      </w:r>
      <w:r>
        <w:rPr>
          <w:i/>
          <w:iCs/>
          <w:color w:val="333333"/>
        </w:rPr>
        <w:t xml:space="preserve">CloudWatch/SNS deliver failure alerting; Secrets Manager + KMS deliver encryption and the credential boundary; IAM enforces least privilege.</w:t>
      </w:r>
    </w:p>
    <w:p>
      <w:pPr>
        <w:pStyle w:val="Heading1"/>
        <w:spacing w:after="120" w:before="260"/>
      </w:pPr>
      <w:r>
        <w:rPr>
          <w:b/>
          <w:bCs/>
          <w:color w:val="1F3864"/>
          <w:sz w:val="30"/>
          <w:szCs w:val="30"/>
        </w:rPr>
        <w:t xml:space="preserve">7. Data Model</w:t>
      </w:r>
    </w:p>
    <w:p>
      <w:pPr>
        <w:pStyle w:val="Heading2"/>
        <w:spacing w:after="100" w:before="180"/>
      </w:pPr>
      <w:r>
        <w:rPr>
          <w:b/>
          <w:bCs/>
          <w:color w:val="2E5496"/>
          <w:sz w:val="24"/>
          <w:szCs w:val="24"/>
        </w:rPr>
        <w:t xml:space="preserve">7.1 Medallion layers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1100"/>
        <w:gridCol w:w="5760"/>
        <w:gridCol w:w="2500"/>
      </w:tblGrid>
      <w:tr>
        <w:trPr>
          <w:tblHeader/>
        </w:trPr>
        <w:tc>
          <w:tcPr>
            <w:tcW w:type="dxa" w:w="11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57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Tables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Bronze</w:t>
            </w:r>
          </w:p>
        </w:tc>
        <w:tc>
          <w:tcPr>
            <w:tcW w:type="dxa" w:w="5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Raw typed landing from SQL Server + ingest metadata (ingest_ts, source, batch_date). No business logic.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b_order_items, b_order_item_options, b_date_dim</w:t>
            </w:r>
          </w:p>
        </w:tc>
      </w:tr>
      <w:tr>
        <w:tc>
          <w:tcPr>
            <w:tcW w:type="dxa" w:w="11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Silver</w:t>
            </w:r>
          </w:p>
        </w:tc>
        <w:tc>
          <w:tcPr>
            <w:tcW w:type="dxa" w:w="576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Cleaned &amp; conformed: lowercase snake_case, parsed dates, null handling, dedup, test-row &amp; malformed-row removal; generated 2020–2024 calendar; revenue math at line and order grain.</w:t>
            </w:r>
          </w:p>
        </w:tc>
        <w:tc>
          <w:tcPr>
            <w:tcW w:type="dxa" w:w="25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s_order_items, s_order_item_options, s_date_dim (generated), s_order_lines, s_orders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Gold</w:t>
            </w:r>
          </w:p>
        </w:tc>
        <w:tc>
          <w:tcPr>
            <w:tcW w:type="dxa" w:w="5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Business marts consumed by the dashboard; primary CLV daily snapshot + six analytic marts (§7.3).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g_fact_customer_clv_daily (primary) + 6 marts</w:t>
            </w:r>
          </w:p>
        </w:tc>
      </w:tr>
    </w:tbl>
    <w:p>
      <w:pPr>
        <w:pStyle w:val="Heading2"/>
        <w:spacing w:after="100" w:before="180"/>
      </w:pPr>
      <w:r>
        <w:rPr>
          <w:b/>
          <w:bCs/>
          <w:color w:val="2E5496"/>
          <w:sz w:val="24"/>
          <w:szCs w:val="24"/>
        </w:rPr>
        <w:t xml:space="preserve">7.2 Primary fact — g_fact_customer_clv_daily (the North Star)</w:t>
      </w:r>
    </w:p>
    <w:p>
      <w:pPr>
        <w:spacing w:after="120" w:line="276"/>
      </w:pPr>
      <w:r>
        <w:t xml:space="preserve">Grain: one row per (user_id × snapshot_date). Each daily run appends the customer's cumulative state as of that date, so the table is a time series of value evolution — not a single overwrite.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67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user_id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customer key (guest / null rows excluded)</w:t>
            </w:r>
          </w:p>
        </w:tc>
      </w:tr>
      <w:tr>
        <w:tc>
          <w:tcPr>
            <w:tcW w:type="dxa" w:w="26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snapshot_date</w:t>
            </w:r>
          </w:p>
        </w:tc>
        <w:tc>
          <w:tcPr>
            <w:tcW w:type="dxa" w:w="676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calendar date of the snapshot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cum_net_revenue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running net revenue to date = item revenue + Σ(option_price × qty); options additive (no discounts)</w:t>
            </w:r>
          </w:p>
        </w:tc>
      </w:tr>
      <w:tr>
        <w:tc>
          <w:tcPr>
            <w:tcW w:type="dxa" w:w="26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cum_orders</w:t>
            </w:r>
          </w:p>
        </w:tc>
        <w:tc>
          <w:tcPr>
            <w:tcW w:type="dxa" w:w="676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running distinct order count to date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first_order_date / last_order_date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lifecycle anchors</w:t>
            </w:r>
          </w:p>
        </w:tc>
      </w:tr>
      <w:tr>
        <w:tc>
          <w:tcPr>
            <w:tcW w:type="dxa" w:w="26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recency_days</w:t>
            </w:r>
          </w:p>
        </w:tc>
        <w:tc>
          <w:tcPr>
            <w:tcW w:type="dxa" w:w="676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snapshot_date − last_order_date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avg_order_value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cum_net_revenue / cum_orders</w:t>
            </w:r>
          </w:p>
        </w:tc>
      </w:tr>
      <w:tr>
        <w:tc>
          <w:tcPr>
            <w:tcW w:type="dxa" w:w="26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clv_tier</w:t>
            </w:r>
          </w:p>
        </w:tc>
        <w:tc>
          <w:tcPr>
            <w:tcW w:type="dxa" w:w="676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High (top 20%) / Medium (mid 60%) / Low (bottom 20%) by cum_net_revenue percentile as of snapshot_date</w:t>
            </w:r>
          </w:p>
        </w:tc>
      </w:tr>
    </w:tbl>
    <w:p>
      <w:pPr>
        <w:pBdr>
          <w:left w:val="single" w:color="2E5496" w:sz="18" w:space="12"/>
        </w:pBdr>
        <w:spacing w:after="140" w:before="60" w:line="268"/>
        <w:ind w:left="220"/>
      </w:pPr>
      <w:r>
        <w:rPr>
          <w:b/>
          <w:bCs/>
          <w:color w:val="2E5496"/>
        </w:rPr>
        <w:t xml:space="preserve">WHY  </w:t>
      </w:r>
      <w:r>
        <w:rPr>
          <w:i/>
          <w:iCs/>
          <w:color w:val="333333"/>
        </w:rPr>
        <w:t xml:space="preserve">Design as an incremental daily-append (partitioned by snapshot_date). Re-running a date overwrites only that partition — idempotent and reload-safe. Percentile tiers are computed as-of-date by design, which is what "evolving CLV" means; documented so shifting tiers are read as signal, not error.</w:t>
      </w:r>
    </w:p>
    <w:p>
      <w:pPr>
        <w:pStyle w:val="Heading2"/>
        <w:spacing w:after="100" w:before="180"/>
      </w:pPr>
      <w:r>
        <w:rPr>
          <w:b/>
          <w:bCs/>
          <w:color w:val="2E5496"/>
          <w:sz w:val="24"/>
          <w:szCs w:val="24"/>
        </w:rPr>
        <w:t xml:space="preserve">7.3 Secondary marts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2500"/>
        <w:gridCol w:w="2600"/>
        <w:gridCol w:w="4260"/>
      </w:tblGrid>
      <w:tr>
        <w:trPr>
          <w:tblHeader/>
        </w:trPr>
        <w:tc>
          <w:tcPr>
            <w:tcW w:type="dxa" w:w="2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Mart</w:t>
            </w:r>
          </w:p>
        </w:tc>
        <w:tc>
          <w:tcPr>
            <w:tcW w:type="dxa" w:w="26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Grain</w:t>
            </w:r>
          </w:p>
        </w:tc>
        <w:tc>
          <w:tcPr>
            <w:tcW w:type="dxa" w:w="42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Core fields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g_dim_customer_rfm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user_id × analysis_date</w:t>
            </w:r>
          </w:p>
        </w:tc>
        <w:tc>
          <w:tcPr>
            <w:tcW w:type="dxa" w:w="4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r/f/m scores (1–5), rfm_segment (VIP / New / Churn-Risk), recency, frequency, monetary</w:t>
            </w:r>
          </w:p>
        </w:tc>
      </w:tr>
      <w:tr>
        <w:tc>
          <w:tcPr>
            <w:tcW w:type="dxa" w:w="25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g_fact_churn_indicators</w:t>
            </w:r>
          </w:p>
        </w:tc>
        <w:tc>
          <w:tcPr>
            <w:tcW w:type="dxa" w:w="26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user_id × analysis_date</w:t>
            </w:r>
          </w:p>
        </w:tc>
        <w:tc>
          <w:tcPr>
            <w:tcW w:type="dxa" w:w="426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days_since_last_order, avg_inter_order_gap_days, pct_spend_change, at_risk_flag (&gt;45d)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g_fact_sales_trends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date × restaurant_id × item_category</w:t>
            </w:r>
          </w:p>
        </w:tc>
        <w:tc>
          <w:tcPr>
            <w:tcW w:type="dxa" w:w="4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orders, gross_revenue, net_revenue; week/month + holiday overlay from date_dim</w:t>
            </w:r>
          </w:p>
        </w:tc>
      </w:tr>
      <w:tr>
        <w:tc>
          <w:tcPr>
            <w:tcW w:type="dxa" w:w="25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g_fact_loyalty_impact</w:t>
            </w:r>
          </w:p>
        </w:tc>
        <w:tc>
          <w:tcPr>
            <w:tcW w:type="dxa" w:w="26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analysis_date × is_loyalty</w:t>
            </w:r>
          </w:p>
        </w:tc>
        <w:tc>
          <w:tcPr>
            <w:tcW w:type="dxa" w:w="426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customers, avg_spend, repeat_order_rate, avg_clv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g_fact_location_performance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restaurant_id × analysis_date</w:t>
            </w:r>
          </w:p>
        </w:tc>
        <w:tc>
          <w:tcPr>
            <w:tcW w:type="dxa" w:w="4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total_net_revenue, aov, orders, orders_per_day, revenue_rank (28 locations)</w:t>
            </w:r>
          </w:p>
        </w:tc>
      </w:tr>
      <w:tr>
        <w:tc>
          <w:tcPr>
            <w:tcW w:type="dxa" w:w="2500"/>
            <w:shd w:fill="FBF3E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g_fact_addon_revenue (OPTIONAL supplement)</w:t>
            </w:r>
          </w:p>
        </w:tc>
        <w:tc>
          <w:tcPr>
            <w:tcW w:type="dxa" w:w="2600"/>
            <w:shd w:fill="FBF3E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analysis_date × has_paid_modifier</w:t>
            </w:r>
          </w:p>
        </w:tc>
        <w:tc>
          <w:tcPr>
            <w:tcW w:type="dxa" w:w="4260"/>
            <w:shd w:fill="FBF3E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orders, gross_revenue, addon_revenue, aov, paid-modifier attach-rate. Supplement only — the discount mart is descoped (D2), not replaced; discount analysis documented as not feasible.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F3864"/>
          <w:sz w:val="30"/>
          <w:szCs w:val="30"/>
        </w:rPr>
        <w:t xml:space="preserve">8. Metric Definitions (precise)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b/>
          <w:bCs/>
        </w:rPr>
        <w:t xml:space="preserve">Revenue identity: </w:t>
      </w:r>
      <w:r>
        <w:t xml:space="preserve">gross_line = item_price × item_quantity; option_revenue = option_price × option_quantity (option_price ≥ 0 in this data — additive, no discounts); net_line = gross_line + Σ option_revenue; order_net = Σ net_line; cum_net_revenue(u, d) = Σ order_net for user u where order_date ≤ d.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b/>
          <w:bCs/>
        </w:rPr>
        <w:t xml:space="preserve">CLV (primary): </w:t>
      </w:r>
      <w:r>
        <w:t xml:space="preserve">cumulative net historical revenue per customer, snapshotted daily; tiers High/Medium/Low = top 20% / mid 60% / bottom 20% by cum_net_revenue percentile as of each snapshot_date.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b/>
          <w:bCs/>
        </w:rPr>
        <w:t xml:space="preserve">RFM: </w:t>
      </w:r>
      <w:r>
        <w:t xml:space="preserve">Recency = analysis_date − last_order_date; Frequency = distinct orders in trailing window; Monetary = net revenue in trailing window. Score each 1–5 by quantile. VIP = high R,F,M; New = high R, low F; Churn-Risk = low R, low F.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b/>
          <w:bCs/>
        </w:rPr>
        <w:t xml:space="preserve">Churn indicators: </w:t>
      </w:r>
      <w:r>
        <w:t xml:space="preserve">days_since_last_order; avg_inter_order_gap; pct_spend_change vs prior period; at_risk = days_since_last_order &gt; 45. Descriptive only — no prediction.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b/>
          <w:bCs/>
        </w:rPr>
        <w:t xml:space="preserve">Sales trends: </w:t>
      </w:r>
      <w:r>
        <w:t xml:space="preserve">net revenue aggregated daily / weekly / monthly by restaurant_id and item_category, with holiday flags from the generated calendar for seasonality across 2020–2024.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b/>
          <w:bCs/>
        </w:rPr>
        <w:t xml:space="preserve">Loyalty impact: </w:t>
      </w:r>
      <w:r>
        <w:t xml:space="preserve">partition by is_loyalty; compare avg spend, repeat-order rate, and avg CLV between members (22.6%) and non-members.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b/>
          <w:bCs/>
        </w:rPr>
        <w:t xml:space="preserve">Location performance: </w:t>
      </w:r>
      <w:r>
        <w:t xml:space="preserve">by restaurant_id (28 locations): total net revenue, AOV, orders/day, revenue rank.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b/>
          <w:bCs/>
          <w:color w:val="9C1C1C"/>
        </w:rPr>
        <w:t xml:space="preserve">Pricing &amp; discount effectiveness (D2 — not feasible): </w:t>
      </w:r>
      <w:r>
        <w:t xml:space="preserve">no discount signal exists in the data (0 negative prices in either file); the analysis specified in the brief cannot be performed and is documented as a data limitation.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b/>
          <w:bCs/>
          <w:color w:val="9C6500"/>
        </w:rPr>
        <w:t xml:space="preserve">Add-on revenue (OPTIONAL supplement, D2): </w:t>
      </w:r>
      <w:r>
        <w:t xml:space="preserve">paid modifier = option_price &gt; 0; compare orders with vs without paid add-ons on revenue, AOV, and attach-rate. Provided only to populate the sixth dashboard slot — labelled as a supplement, not a discount analysis.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b/>
          <w:bCs/>
        </w:rPr>
        <w:t xml:space="preserve">Null-USER_ID rule: </w:t>
      </w:r>
      <w:r>
        <w:t xml:space="preserve">excluded from CLV/RFM/churn/per-customer loyalty; retained in sales-trend, location, and add-on revenue totals as a guest bucket.</w:t>
      </w:r>
    </w:p>
    <w:p>
      <w:pPr>
        <w:pStyle w:val="Heading1"/>
        <w:spacing w:after="120" w:before="260"/>
      </w:pPr>
      <w:r>
        <w:rPr>
          <w:b/>
          <w:bCs/>
          <w:color w:val="1F3864"/>
          <w:sz w:val="30"/>
          <w:szCs w:val="30"/>
        </w:rPr>
        <w:t xml:space="preserve">9. Orchestration, Scheduling, Encryption &amp; Failure-Reload</w:t>
      </w:r>
    </w:p>
    <w:p>
      <w:pPr>
        <w:pStyle w:val="Heading2"/>
        <w:spacing w:after="100" w:before="180"/>
      </w:pPr>
      <w:r>
        <w:rPr>
          <w:b/>
          <w:bCs/>
          <w:color w:val="2E5496"/>
          <w:sz w:val="24"/>
          <w:szCs w:val="24"/>
        </w:rPr>
        <w:t xml:space="preserve">9.1 Glue Workflow execution order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Daily scheduled trigger fires the workflow (cron, ~06:00 UTC).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Job 1 — ingest_sqlserver_to_bronze: JDBC pull of all three tables → Delta Bronze (partitioned by batch_date).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Job 2 — bronze_to_silver: clean, standardise casing, parse ISO-8601 timestamps, remove test/malformed rows, dedup, generate the 2020–2024 calendar, compute line/order revenue.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Job 3 — silver_to_gold_clv_daily: append the day's CLV snapshot (primary).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Job 4 — silver_to_gold_marts: RFM, churn, sales, loyalty, location, add-on revenue (runs after Silver; parallelisable).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Job 5 — publish_and_qc: register/refresh Athena (engine v3) + run data-quality checks (incl. 203,519 reconciliation).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t xml:space="preserve">On any failure → CloudWatch alarm → SNS alert; the failed batch_date is re-runnable idempotently.</w:t>
      </w:r>
    </w:p>
    <w:p>
      <w:pPr>
        <w:pStyle w:val="Heading2"/>
        <w:spacing w:after="100" w:before="180"/>
      </w:pPr>
      <w:r>
        <w:rPr>
          <w:b/>
          <w:bCs/>
          <w:color w:val="2E5496"/>
          <w:sz w:val="24"/>
          <w:szCs w:val="24"/>
        </w:rPr>
        <w:t xml:space="preserve">9.2 Scheduling</w:t>
      </w:r>
    </w:p>
    <w:p>
      <w:pPr>
        <w:pBdr>
          <w:left w:val="single" w:color="2E5496" w:sz="18" w:space="12"/>
        </w:pBdr>
        <w:spacing w:after="140" w:before="60" w:line="268"/>
        <w:ind w:left="220"/>
      </w:pPr>
      <w:r>
        <w:rPr>
          <w:b/>
          <w:bCs/>
          <w:color w:val="2E5496"/>
        </w:rPr>
        <w:t xml:space="preserve">WHY  </w:t>
      </w:r>
      <w:r>
        <w:rPr>
          <w:i/>
          <w:iCs/>
          <w:color w:val="333333"/>
        </w:rPr>
        <w:t xml:space="preserve">Glue Workflow scheduled trigger (cron) — native, no extra orchestrator to run or pay for; meets the daily-batch requirement at zero incremental infra cost. Job Bookmarks make each run process only new/changed data.</w:t>
      </w:r>
    </w:p>
    <w:p>
      <w:pPr>
        <w:pStyle w:val="Heading2"/>
        <w:spacing w:after="100" w:before="180"/>
      </w:pPr>
      <w:r>
        <w:rPr>
          <w:b/>
          <w:bCs/>
          <w:color w:val="2E5496"/>
          <w:sz w:val="24"/>
          <w:szCs w:val="24"/>
        </w:rPr>
        <w:t xml:space="preserve">9.3 Encryption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b/>
          <w:bCs/>
        </w:rPr>
        <w:t xml:space="preserve">At rest: </w:t>
      </w:r>
      <w:r>
        <w:t xml:space="preserve">SSE-KMS (customer-managed CMK) on all S3 zones; Glue security configuration encrypts S3, CloudWatch logs, and job bookmarks; Athena results land in an encrypted bucket.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b/>
          <w:bCs/>
        </w:rPr>
        <w:t xml:space="preserve">In transit: </w:t>
      </w:r>
      <w:r>
        <w:t xml:space="preserve">JDBC to SQL Server with encrypt=true (TLS); HTTPS for every AWS API / S3 call; App Runner serves over HTTPS.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b/>
          <w:bCs/>
        </w:rPr>
        <w:t xml:space="preserve">Secrets: </w:t>
      </w:r>
      <w:r>
        <w:t xml:space="preserve">SQL Server credentials in Secrets Manager (KMS-encrypted); Gerardo populates and rotates them — never handled in code or by the build engine.</w:t>
      </w:r>
    </w:p>
    <w:p>
      <w:pPr>
        <w:pBdr>
          <w:left w:val="single" w:color="2E5496" w:sz="18" w:space="12"/>
        </w:pBdr>
        <w:spacing w:after="140" w:before="60" w:line="268"/>
        <w:ind w:left="220"/>
      </w:pPr>
      <w:r>
        <w:rPr>
          <w:b/>
          <w:bCs/>
          <w:color w:val="2E5496"/>
        </w:rPr>
        <w:t xml:space="preserve">WHY  </w:t>
      </w:r>
      <w:r>
        <w:rPr>
          <w:i/>
          <w:iCs/>
          <w:color w:val="333333"/>
        </w:rPr>
        <w:t xml:space="preserve">KMS + Secrets Manager + Glue security config together satisfy the encryption mandate and keep the credential boundary intact.</w:t>
      </w:r>
    </w:p>
    <w:p>
      <w:pPr>
        <w:pStyle w:val="Heading2"/>
        <w:spacing w:after="100" w:before="180"/>
      </w:pPr>
      <w:r>
        <w:rPr>
          <w:b/>
          <w:bCs/>
          <w:color w:val="2E5496"/>
          <w:sz w:val="24"/>
          <w:szCs w:val="24"/>
        </w:rPr>
        <w:t xml:space="preserve">9.4 Failure-reload / reprocessing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t xml:space="preserve">Idempotent, partitioned writes keyed by batch_date — re-running a date overwrites only that partition (Delta MERGE/overwrite).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t xml:space="preserve">Glue Job Bookmarks for incremental source pulls; a run_date parameter forces reprocessing of any specific date.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t xml:space="preserve">Delta ACID + time-travel enable safe restatement and rollback.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t xml:space="preserve">Glue Workflow retries + CloudWatch alarm → SNS notification on failure.</w:t>
      </w:r>
    </w:p>
    <w:p>
      <w:pPr>
        <w:pBdr>
          <w:left w:val="single" w:color="2E5496" w:sz="18" w:space="12"/>
        </w:pBdr>
        <w:spacing w:after="140" w:before="60" w:line="268"/>
        <w:ind w:left="220"/>
      </w:pPr>
      <w:r>
        <w:rPr>
          <w:b/>
          <w:bCs/>
          <w:color w:val="2E5496"/>
        </w:rPr>
        <w:t xml:space="preserve">WHY  </w:t>
      </w:r>
      <w:r>
        <w:rPr>
          <w:i/>
          <w:iCs/>
          <w:color w:val="333333"/>
        </w:rPr>
        <w:t xml:space="preserve">This delivers the required failure-reload mechanism without bespoke state management — the reload is just a re-run of a partition, guaranteed consistent by Delta.</w:t>
      </w:r>
    </w:p>
    <w:p>
      <w:pPr>
        <w:pStyle w:val="Heading1"/>
        <w:spacing w:after="120" w:before="260"/>
      </w:pPr>
      <w:r>
        <w:rPr>
          <w:b/>
          <w:bCs/>
          <w:color w:val="1F3864"/>
          <w:sz w:val="30"/>
          <w:szCs w:val="30"/>
        </w:rPr>
        <w:t xml:space="preserve">10. Cost Optimisation (budget: as low as possible, full capability retained)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t xml:space="preserve">Glue 4.0, 2× G.1X workers, Flex execution class for non-urgent jobs, autoscaling, and job timeouts — ~200k rows is tiny, so minimal DPUs suffice.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t xml:space="preserve">Athena engine v3 with partition pruning over columnar Delta → minimal bytes scanned; workgroup per-query data cap.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t xml:space="preserve">S3 lifecycle: Bronze → Infrequent Access after 30 days; Intelligent-Tiering; single region (us-east-1).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t xml:space="preserve">App Runner at the smallest size, paused between demo windows (largest controllable lever); Streamlit can run locally for the recorded video to avoid always-on cost.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t xml:space="preserve">One KMS CMK; short CloudWatch log retention; AWS Budgets alarm → SNS to catch overruns early.</w:t>
      </w:r>
    </w:p>
    <w:p>
      <w:pPr>
        <w:spacing w:after="120" w:line="276"/>
      </w:pPr>
      <w:r>
        <w:rPr>
          <w:b/>
          <w:bCs/>
          <w:color w:val="9C1C1C"/>
          <w:sz w:val="18"/>
          <w:szCs w:val="18"/>
        </w:rPr>
        <w:t xml:space="preserve">[NEEDS-VALIDATION] </w:t>
      </w:r>
      <w:r>
        <w:t xml:space="preserve">Order-of-magnitude estimate only — confirm in the AWS Pricing Calculator before relying on it. With App Runner paused between demos, expected spend is low tens of USD/month, dominated by any always-on serving and KMS; Glue/Athena/S3 on this data volume are cents-to-low-dollars.</w:t>
      </w:r>
    </w:p>
    <w:p>
      <w:pPr>
        <w:pStyle w:val="Heading1"/>
        <w:spacing w:after="120" w:before="260"/>
      </w:pPr>
      <w:r>
        <w:rPr>
          <w:b/>
          <w:bCs/>
          <w:color w:val="1F3864"/>
          <w:sz w:val="30"/>
          <w:szCs w:val="30"/>
        </w:rPr>
        <w:t xml:space="preserve">11. Alternatives Considered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1700"/>
        <w:gridCol w:w="1900"/>
        <w:gridCol w:w="5760"/>
      </w:tblGrid>
      <w:tr>
        <w:trPr>
          <w:tblHeader/>
        </w:trPr>
        <w:tc>
          <w:tcPr>
            <w:tcW w:type="dxa" w:w="17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19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Chosen</w:t>
            </w:r>
          </w:p>
        </w:tc>
        <w:tc>
          <w:tcPr>
            <w:tcW w:type="dxa" w:w="57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Rejected (why)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Orchestration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Glue Workflows</w:t>
            </w:r>
          </w:p>
        </w:tc>
        <w:tc>
          <w:tcPr>
            <w:tcW w:type="dxa" w:w="5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MWAA/Airflow (extra always-on cost); Step Functions (more glue code, no Job-Bookmark integration).</w:t>
            </w:r>
          </w:p>
        </w:tc>
      </w:tr>
      <w:tr>
        <w:tc>
          <w:tcPr>
            <w:tcW w:type="dxa" w:w="17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IaC</w:t>
            </w:r>
          </w:p>
        </w:tc>
        <w:tc>
          <w:tcPr>
            <w:tcW w:type="dxa" w:w="19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boto3</w:t>
            </w:r>
          </w:p>
        </w:tc>
        <w:tc>
          <w:tcPr>
            <w:tcW w:type="dxa" w:w="576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Terraform/CDK (state backend + slower for a solo, deadline-bound build; less DE-hands-on signal).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Table format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Delta Lake</w:t>
            </w:r>
          </w:p>
        </w:tc>
        <w:tc>
          <w:tcPr>
            <w:tcW w:type="dxa" w:w="5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Iceberg/Hudi (viable, but Delta has the most mature Glue-Spark support and simplest time-travel reload).</w:t>
            </w:r>
          </w:p>
        </w:tc>
      </w:tr>
      <w:tr>
        <w:tc>
          <w:tcPr>
            <w:tcW w:type="dxa" w:w="17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Compute</w:t>
            </w:r>
          </w:p>
        </w:tc>
        <w:tc>
          <w:tcPr>
            <w:tcW w:type="dxa" w:w="19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Glue ETL (Spark)</w:t>
            </w:r>
          </w:p>
        </w:tc>
        <w:tc>
          <w:tcPr>
            <w:tcW w:type="dxa" w:w="576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EMR / EMR Serverless (more ops and cost for small, spiky workloads).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Serving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App Runner</w:t>
            </w:r>
          </w:p>
        </w:tc>
        <w:tc>
          <w:tcPr>
            <w:tcW w:type="dxa" w:w="5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ECS Fargate/EC2 (more setup); Streamlit Community Cloud (external SaaS — disallowed).</w:t>
            </w:r>
          </w:p>
        </w:tc>
      </w:tr>
      <w:tr>
        <w:tc>
          <w:tcPr>
            <w:tcW w:type="dxa" w:w="17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Query</w:t>
            </w:r>
          </w:p>
        </w:tc>
        <w:tc>
          <w:tcPr>
            <w:tcW w:type="dxa" w:w="19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Athena v3</w:t>
            </w:r>
          </w:p>
        </w:tc>
        <w:tc>
          <w:tcPr>
            <w:tcW w:type="dxa" w:w="576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Redshift (cluster cost unjustified at this scale).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F3864"/>
          <w:sz w:val="30"/>
          <w:szCs w:val="30"/>
        </w:rPr>
        <w:t xml:space="preserve">12. Risk Audit &amp; Mitigations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600"/>
        <w:gridCol w:w="3560"/>
        <w:gridCol w:w="900"/>
        <w:gridCol w:w="43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5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Sev</w:t>
            </w:r>
          </w:p>
        </w:tc>
        <w:tc>
          <w:tcPr>
            <w:tcW w:type="dxa" w:w="43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R1</w:t>
            </w:r>
          </w:p>
        </w:tc>
        <w:tc>
          <w:tcPr>
            <w:tcW w:type="dxa" w:w="3560"/>
            <w:shd w:fill="E7F0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date_dim covers only 2023 while orders span 2020–2024 (60.4% would be dropped)</w:t>
            </w:r>
          </w:p>
        </w:tc>
        <w:tc>
          <w:tcPr>
            <w:tcW w:type="dxa" w:w="900"/>
            <w:shd w:fill="E7F0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center"/>
            </w:pPr>
            <w:r>
              <w:rPr>
                <w:b/>
                <w:bCs/>
                <w:color w:val="1E6B2F"/>
                <w:sz w:val="19"/>
                <w:szCs w:val="19"/>
              </w:rPr>
              <w:t xml:space="preserve">RESOLVED</w:t>
            </w:r>
          </w:p>
        </w:tc>
        <w:tc>
          <w:tcPr>
            <w:tcW w:type="dxa" w:w="4300"/>
            <w:shd w:fill="E7F0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SME-approved (D1): generate the calendar in Silver from min/max order date; QA join-coverage = 100% before Gold.</w:t>
            </w:r>
          </w:p>
        </w:tc>
      </w:tr>
      <w:tr>
        <w:tc>
          <w:tcPr>
            <w:tcW w:type="dxa" w:w="6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R2</w:t>
            </w:r>
          </w:p>
        </w:tc>
        <w:tc>
          <w:tcPr>
            <w:tcW w:type="dxa" w:w="3560"/>
            <w:shd w:fill="E7F0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"Discount effectiveness" has no signal in the data</w:t>
            </w:r>
          </w:p>
        </w:tc>
        <w:tc>
          <w:tcPr>
            <w:tcW w:type="dxa" w:w="900"/>
            <w:shd w:fill="E7F0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center"/>
            </w:pPr>
            <w:r>
              <w:rPr>
                <w:b/>
                <w:bCs/>
                <w:color w:val="1E6B2F"/>
                <w:sz w:val="19"/>
                <w:szCs w:val="19"/>
              </w:rPr>
              <w:t xml:space="preserve">RESOLVED</w:t>
            </w:r>
          </w:p>
        </w:tc>
        <w:tc>
          <w:tcPr>
            <w:tcW w:type="dxa" w:w="4300"/>
            <w:shd w:fill="E7F0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SME decision (D2): descope and document as a data limitation; do not fabricate a net-of-discount formula. Optional add-on view fills the dashboard slot.</w:t>
            </w:r>
          </w:p>
        </w:tc>
      </w:tr>
      <w:t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R3</w:t>
            </w:r>
          </w:p>
        </w:tc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3-day timeline to design→approve→build→deploy→document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center"/>
            </w:pPr>
            <w:r>
              <w:rPr>
                <w:b/>
                <w:bCs/>
                <w:color w:val="9C1C1C"/>
                <w:sz w:val="19"/>
                <w:szCs w:val="19"/>
              </w:rPr>
              <w:t xml:space="preserve">HIGH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Submit SDD today; build against it in parallel; descope fallback in §13.</w:t>
            </w:r>
          </w:p>
        </w:tc>
      </w:tr>
      <w:tr>
        <w:tc>
          <w:tcPr>
            <w:tcW w:type="dxa" w:w="6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R4</w:t>
            </w:r>
          </w:p>
        </w:tc>
        <w:tc>
          <w:tcPr>
            <w:tcW w:type="dxa" w:w="356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SME approval slips</w:t>
            </w:r>
          </w:p>
        </w:tc>
        <w:tc>
          <w:tcPr>
            <w:tcW w:type="dxa" w:w="9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center"/>
            </w:pPr>
            <w:r>
              <w:rPr>
                <w:b/>
                <w:bCs/>
                <w:color w:val="9C6500"/>
                <w:sz w:val="19"/>
                <w:szCs w:val="19"/>
              </w:rPr>
              <w:t xml:space="preserve">MED</w:t>
            </w:r>
          </w:p>
        </w:tc>
        <w:tc>
          <w:tcPr>
            <w:tcW w:type="dxa" w:w="43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Keep design stable; stage build in a branch at-risk; approval unblocks merge, not authorship.</w:t>
            </w:r>
          </w:p>
        </w:tc>
      </w:tr>
      <w:t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R5</w:t>
            </w:r>
          </w:p>
        </w:tc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SQL Server (Windows) + JDBC setup consumes time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center"/>
            </w:pPr>
            <w:r>
              <w:rPr>
                <w:b/>
                <w:bCs/>
                <w:color w:val="9C6500"/>
                <w:sz w:val="19"/>
                <w:szCs w:val="19"/>
              </w:rPr>
              <w:t xml:space="preserve">MED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Fallback: land CSVs directly to Bronze via a boto3 loader to unblock Silver/Gold; JDBC remains the documented production path.</w:t>
            </w:r>
          </w:p>
        </w:tc>
      </w:tr>
      <w:tr>
        <w:tc>
          <w:tcPr>
            <w:tcW w:type="dxa" w:w="6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R6</w:t>
            </w:r>
          </w:p>
        </w:tc>
        <w:tc>
          <w:tcPr>
            <w:tcW w:type="dxa" w:w="356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Null USER_ID skews CLV/RFM</w:t>
            </w:r>
          </w:p>
        </w:tc>
        <w:tc>
          <w:tcPr>
            <w:tcW w:type="dxa" w:w="9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center"/>
            </w:pPr>
            <w:r>
              <w:rPr>
                <w:b/>
                <w:bCs/>
                <w:color w:val="9C6500"/>
                <w:sz w:val="19"/>
                <w:szCs w:val="19"/>
              </w:rPr>
              <w:t xml:space="preserve">MED</w:t>
            </w:r>
          </w:p>
        </w:tc>
        <w:tc>
          <w:tcPr>
            <w:tcW w:type="dxa" w:w="43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Explicit exclusion + guest revenue bucket (§4, §8).</w:t>
            </w:r>
          </w:p>
        </w:tc>
      </w:tr>
      <w:t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R7</w:t>
            </w:r>
          </w:p>
        </w:tc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Test/malformed rows pollute metrics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center"/>
            </w:pPr>
            <w:r>
              <w:rPr>
                <w:b/>
                <w:bCs/>
                <w:color w:val="1E6B2F"/>
                <w:sz w:val="19"/>
                <w:szCs w:val="19"/>
              </w:rPr>
              <w:t xml:space="preserve">LOW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Silver filters 826 DEVELOPMENT rows + 1 malformed row; dedup options; unit-tested.</w:t>
            </w:r>
          </w:p>
        </w:tc>
      </w:tr>
      <w:tr>
        <w:tc>
          <w:tcPr>
            <w:tcW w:type="dxa" w:w="6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R8</w:t>
            </w:r>
          </w:p>
        </w:tc>
        <w:tc>
          <w:tcPr>
            <w:tcW w:type="dxa" w:w="356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Athena defaults to v2 (no Delta)</w:t>
            </w:r>
          </w:p>
        </w:tc>
        <w:tc>
          <w:tcPr>
            <w:tcW w:type="dxa" w:w="9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center"/>
            </w:pPr>
            <w:r>
              <w:rPr>
                <w:b/>
                <w:bCs/>
                <w:color w:val="1E6B2F"/>
                <w:sz w:val="19"/>
                <w:szCs w:val="19"/>
              </w:rPr>
              <w:t xml:space="preserve">LOW</w:t>
            </w:r>
          </w:p>
        </w:tc>
        <w:tc>
          <w:tcPr>
            <w:tcW w:type="dxa" w:w="43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Set engine v3 explicitly at the workgroup; verify in publish_and_qc.</w:t>
            </w:r>
          </w:p>
        </w:tc>
      </w:tr>
      <w:t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R9</w:t>
            </w:r>
          </w:p>
        </w:tc>
        <w:tc>
          <w:tcPr>
            <w:tcW w:type="dxa" w:w="3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Always-on App Runner cost creep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  <w:jc w:val="center"/>
            </w:pPr>
            <w:r>
              <w:rPr>
                <w:b/>
                <w:bCs/>
                <w:color w:val="1E6B2F"/>
                <w:sz w:val="19"/>
                <w:szCs w:val="19"/>
              </w:rPr>
              <w:t xml:space="preserve">LOW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Pause/scale down between demos; AWS Budgets alarm.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F3864"/>
          <w:sz w:val="30"/>
          <w:szCs w:val="30"/>
        </w:rPr>
        <w:t xml:space="preserve">13. Implementation Plan — Critical Path (Jul 7–10, 2026)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1400"/>
        <w:gridCol w:w="4560"/>
        <w:gridCol w:w="3400"/>
      </w:tblGrid>
      <w:tr>
        <w:trPr>
          <w:tblHeader/>
        </w:trPr>
        <w:tc>
          <w:tcPr>
            <w:tcW w:type="dxa" w:w="1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45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3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Exit criteria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Jul 7 (today)</w:t>
            </w:r>
          </w:p>
        </w:tc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SDD v1.1 finalised &amp; submitted to SME; repo scaffold; boto3 infra script (buckets, KMS, Glue security config, Secrets Manager entry described for Gerardo).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SDD in SME hands; repo + infra bootstrap staged.</w:t>
            </w:r>
          </w:p>
        </w:tc>
      </w:tr>
      <w:tr>
        <w:tc>
          <w:tcPr>
            <w:tcW w:type="dxa" w:w="14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Jul 8</w:t>
            </w:r>
          </w:p>
        </w:tc>
        <w:tc>
          <w:tcPr>
            <w:tcW w:type="dxa" w:w="456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SME approval; Bronze ingest (JDBC, with CSV-load fallback); Silver transforms + generated calendar + data-quality tests.</w:t>
            </w:r>
          </w:p>
        </w:tc>
        <w:tc>
          <w:tcPr>
            <w:tcW w:type="dxa" w:w="34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Silver tables reconcile to 203,519; calendar covers 2020–2024.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Jul 9</w:t>
            </w:r>
          </w:p>
        </w:tc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Gold CLV-daily + 6 marts; Athena v3 registration; Streamlit 6 views.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Dashboard renders real, QA'd numbers.</w:t>
            </w:r>
          </w:p>
        </w:tc>
      </w:tr>
      <w:tr>
        <w:tc>
          <w:tcPr>
            <w:tcW w:type="dxa" w:w="14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Jul 10</w:t>
            </w:r>
          </w:p>
        </w:tc>
        <w:tc>
          <w:tcPr>
            <w:tcW w:type="dxa" w:w="456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GitHub Actions CI/CD; encryption + failure-reload hardening; full QA; video/deck; submit.</w:t>
            </w:r>
          </w:p>
        </w:tc>
        <w:tc>
          <w:tcPr>
            <w:tcW w:type="dxa" w:w="34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All deliverables submitted.</w:t>
            </w:r>
          </w:p>
        </w:tc>
      </w:tr>
    </w:tbl>
    <w:p>
      <w:pPr>
        <w:spacing w:after="60" w:before="140"/>
      </w:pPr>
      <w:r>
        <w:rPr>
          <w:b/>
          <w:bCs/>
          <w:color w:val="1F3864"/>
        </w:rPr>
        <w:t xml:space="preserve">Descope fallback (if any day slips):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t xml:space="preserve">Serve Streamlit locally for the recorded video instead of App Runner (removes deploy from the critical path).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t xml:space="preserve">Prioritise CLV-daily + segmentation + churn + sales-trends as the core four; loyalty / add-on polish last.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t xml:space="preserve">Keep encryption, scheduling, and reload in scope — they are assessment-mandatory and cheap to retain.</w:t>
      </w:r>
    </w:p>
    <w:p>
      <w:pPr>
        <w:pStyle w:val="Heading1"/>
        <w:spacing w:after="120" w:before="260"/>
      </w:pPr>
      <w:r>
        <w:rPr>
          <w:b/>
          <w:bCs/>
          <w:color w:val="1F3864"/>
          <w:sz w:val="30"/>
          <w:szCs w:val="30"/>
        </w:rPr>
        <w:t xml:space="preserve">14. Success Criteria &amp; QA Gates (KPIs)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t xml:space="preserve">Pipeline: daily workflow succeeds; an idempotent re-run of any batch_date reproduces identical Gold output.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t xml:space="preserve">Reconciliation: Bronze row count = 203,519 within a documented tolerance; net = gross + options identity holds; calendar join coverage = 100%.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t xml:space="preserve">Primary metric: g_fact_customer_clv_daily has exactly one row per active customer per date; tier split ≈ 20/60/20.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t xml:space="preserve">Data quality: zero unparsed dates (ISO-8601); null-USER_ID handling verified; test/malformed rows excluded; no unexplained negative cum_net_revenue.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t xml:space="preserve">Serving: dashboard loads &lt; 3s; failure alert delivered &lt; 5 min; numbers render at fixed precision (e.g. 2.78, not 3).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t xml:space="preserve">Cost: monthly spend within the target band; AWS Budgets alarm configured.</w:t>
      </w:r>
    </w:p>
    <w:p>
      <w:pPr>
        <w:pStyle w:val="Heading1"/>
        <w:spacing w:after="120" w:before="260"/>
      </w:pPr>
      <w:r>
        <w:rPr>
          <w:b/>
          <w:bCs/>
          <w:color w:val="1F3864"/>
          <w:sz w:val="30"/>
          <w:szCs w:val="30"/>
        </w:rPr>
        <w:t xml:space="preserve">15. Next Steps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t xml:space="preserve">SME approval recorded (§16); build gate cleared — proceed to implementation.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t xml:space="preserve">Run the boto3 infra bootstrap and begin Bronze ingestion per the §13 critical path.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t xml:space="preserve">Silver: regenerate the 2020–2024 calendar (D1); apply the §4.3 cleaning rules; reconcile to 203,519.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t xml:space="preserve">Deliverables note (D2): include a short statement that the dataset contains no discount data, so the specified discount-effectiveness analysis is not performed; the sixth dashboard shows this limitation plus the optional add-on view.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t xml:space="preserve">Attach the draw.io architecture diagram and the SDD §1 QA report as companion deliverables.</w:t>
      </w:r>
    </w:p>
    <w:p>
      <w:pPr>
        <w:pStyle w:val="Heading1"/>
        <w:spacing w:after="120" w:before="260"/>
      </w:pPr>
      <w:r>
        <w:rPr>
          <w:b/>
          <w:bCs/>
          <w:color w:val="1F3864"/>
          <w:sz w:val="30"/>
          <w:szCs w:val="30"/>
        </w:rPr>
        <w:t xml:space="preserve">16. SME Approval &amp; Sign-Off (Build Gate)</w:t>
      </w:r>
    </w:p>
    <w:p>
      <w:pPr>
        <w:spacing w:after="120" w:line="276"/>
      </w:pPr>
      <w:r>
        <w:t xml:space="preserve">Build gate </w:t>
      </w:r>
      <w:r>
        <w:rPr>
          <w:b/>
          <w:bCs/>
          <w:color w:val="1E6B2F"/>
        </w:rPr>
        <w:t xml:space="preserve">CLEARED</w:t>
      </w:r>
      <w:r>
        <w:t xml:space="preserve">. The SME approved the architecture and the data model and authorised implementation, ratifying decisions D1 and D2 as recorded below (source: Slack thread with Bansari Modi, July 07, 2026).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1700"/>
        <w:gridCol w:w="2300"/>
        <w:gridCol w:w="3360"/>
        <w:gridCol w:w="2000"/>
      </w:tblGrid>
      <w:tr>
        <w:trPr>
          <w:tblHeader/>
        </w:trPr>
        <w:tc>
          <w:tcPr>
            <w:tcW w:type="dxa" w:w="17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3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3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20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Date / Record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SME Reviewer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Bansari Modi</w:t>
            </w:r>
          </w:p>
        </w:tc>
        <w:tc>
          <w:tcPr>
            <w:tcW w:type="dxa" w:w="3360"/>
            <w:shd w:fill="E7F0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1E6B2F"/>
                <w:sz w:val="19"/>
                <w:szCs w:val="19"/>
              </w:rPr>
              <w:t xml:space="preserve">APPROVED — proceed to build (architecture + D1 + D2)</w:t>
            </w:r>
          </w:p>
        </w:tc>
        <w:tc>
          <w:tcPr>
            <w:tcW w:type="dxa" w:w="2000"/>
            <w:shd w:fill="E7F0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Jul 07, 2026 · via Slack</w:t>
            </w:r>
          </w:p>
        </w:tc>
      </w:tr>
      <w:tr>
        <w:tc>
          <w:tcPr>
            <w:tcW w:type="dxa" w:w="17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Project Owner</w:t>
            </w:r>
          </w:p>
        </w:tc>
        <w:tc>
          <w:tcPr>
            <w:tcW w:type="dxa" w:w="23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Gerardo D. Machado</w:t>
            </w:r>
          </w:p>
        </w:tc>
        <w:tc>
          <w:tcPr>
            <w:tcW w:type="dxa" w:w="336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Accepted — implementing per §13</w:t>
            </w:r>
          </w:p>
        </w:tc>
        <w:tc>
          <w:tcPr>
            <w:tcW w:type="dxa" w:w="20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Jul 07, 2026</w:t>
            </w:r>
          </w:p>
        </w:tc>
      </w:tr>
    </w:tbl>
    <w:p>
      <w:pPr>
        <w:spacing w:after="40" w:before="140"/>
      </w:pPr>
      <w:r>
        <w:rPr>
          <w:b/>
          <w:bCs/>
          <w:color w:val="1F3864"/>
        </w:rPr>
        <w:t xml:space="preserve">Decision log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t xml:space="preserve">D1 — calendar → 2020–2024:  </w:t>
      </w:r>
      <w:r>
        <w:rPr>
          <w:b/>
          <w:bCs/>
          <w:color w:val="1E6B2F"/>
        </w:rPr>
        <w:t xml:space="preserve">APPROVED</w:t>
      </w:r>
      <w:r>
        <w:t xml:space="preserve"> ("you can proceed D1"). Regenerate the calendar programmatically in Silver from min/max order date.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t xml:space="preserve">D2 — discount effectiveness:  </w:t>
      </w:r>
      <w:r>
        <w:rPr>
          <w:b/>
          <w:bCs/>
          <w:color w:val="9C6500"/>
        </w:rPr>
        <w:t xml:space="preserve">DESCOPE &amp; DOCUMENT</w:t>
      </w:r>
      <w:r>
        <w:t xml:space="preserve"> ("document that the dataset does not contain discount data, so the original discount analysis cannot be performed"). The metric is out of scope; an add-on view is retained only as an optional supplement.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t xml:space="preserve">Assumptions §5:  </w:t>
      </w:r>
      <w:r>
        <w:rPr>
          <w:b/>
          <w:bCs/>
          <w:color w:val="1E6B2F"/>
        </w:rPr>
        <w:t xml:space="preserve">RATIFIED</w:t>
      </w:r>
      <w:r>
        <w:t xml:space="preserve"> under the same approval (CLV = cumulative net historical revenue; daily cumulative snapshot; 2020–2024 window).</w:t>
      </w:r>
    </w:p>
    <w:p>
      <w:pPr>
        <w:spacing w:after="120" w:line="276"/>
      </w:pPr>
      <w:r>
        <w:rPr>
          <w:b/>
          <w:bCs/>
          <w:i/>
          <w:iCs/>
        </w:rPr>
        <w:t xml:space="preserve">Verbatim SME instruction (D1/D2): </w:t>
      </w:r>
      <w:r>
        <w:rPr>
          <w:i/>
          <w:iCs/>
          <w:color w:val="555555"/>
        </w:rPr>
        <w:t xml:space="preserve">"Yes you can proceed D1. For D2, document that the dataset does not contain discount data, so the original discount analysis cannot be performed."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 Global Partners SDD v1.2</dc:title>
  <dc:creator>Gerardo D. Machado</dc:creator>
  <dc:description>Solution Design Document — QA-validated</dc:description>
  <cp:lastModifiedBy>Un-named</cp:lastModifiedBy>
  <cp:revision>1</cp:revision>
  <dcterms:created xsi:type="dcterms:W3CDTF">2026-07-08T19:14:29.706Z</dcterms:created>
  <dcterms:modified xsi:type="dcterms:W3CDTF">2026-07-08T19:14:29.718Z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