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Plantilla de Proyecto — DGMakers 4Inclusion</w:t>
      </w:r>
    </w:p>
    <w:p>
      <w:pPr>
        <w:jc w:val="center"/>
      </w:pPr>
      <w:r>
        <w:t>Documenta y publica en la plataforma · Accesibilidad by default</w:t>
      </w:r>
    </w:p>
    <w:p>
      <w:r>
        <w:t>Completa los apartados 1–4 para publicar una v1. Mejora luego con versiones (v1.1, v2…).</w:t>
      </w:r>
      <w:r>
        <w:rPr>
          <w:i/>
          <w:sz w:val="20"/>
        </w:rPr>
        <w:t>Completa los apartados 1–4 para publicar una v1. Mejora luego con versiones (v1.1, v2…).</w:t>
      </w:r>
    </w:p>
    <w:p>
      <w:pPr>
        <w:pStyle w:val="Heading2"/>
      </w:pPr>
      <w:r>
        <w:t>1) Nombre del proyecto</w:t>
      </w:r>
    </w:p>
    <w:p>
      <w:r>
        <w:rPr>
          <w:b/>
        </w:rPr>
        <w:t xml:space="preserve">Título: </w:t>
      </w:r>
    </w:p>
    <w:p/>
    <w:p>
      <w:pPr>
        <w:pStyle w:val="Heading2"/>
      </w:pPr>
      <w:r>
        <w:t>2) Para quién va (persona · situación · objetivo)</w:t>
      </w:r>
    </w:p>
    <w:p>
      <w:r>
        <w:rPr>
          <w:b/>
        </w:rPr>
        <w:t xml:space="preserve">Descripción: </w:t>
      </w:r>
    </w:p>
    <w:p/>
    <w:p/>
    <w:p/>
    <w:p>
      <w:pPr>
        <w:pStyle w:val="Heading2"/>
      </w:pPr>
      <w:r>
        <w:t>3) Qué resuelve (dolor concreto)</w:t>
      </w:r>
    </w:p>
    <w:p>
      <w:r>
        <w:rPr>
          <w:b/>
        </w:rPr>
        <w:t xml:space="preserve">Problema: </w:t>
      </w:r>
    </w:p>
    <w:p/>
    <w:p/>
    <w:p/>
    <w:p>
      <w:pPr>
        <w:pStyle w:val="Heading2"/>
      </w:pPr>
      <w:r>
        <w:t>4) Qué entregamos (archivos y formatos)</w:t>
      </w:r>
    </w:p>
    <w:p>
      <w:r>
        <w:rPr>
          <w:b/>
        </w:rPr>
        <w:t xml:space="preserve">Lista de archivos: </w:t>
      </w:r>
      <w:r>
        <w:t>Ej.: STL/3MF, PNG, MP4 1080p con subtítulos, MP3 TTS, PDF ficha A4</w:t>
      </w:r>
    </w:p>
    <w:p>
      <w:pPr>
        <w:pStyle w:val="Heading2"/>
      </w:pPr>
      <w:r>
        <w:t>5) Cómo usarlo (3–5 pasos en lectura fácil)</w:t>
      </w:r>
    </w:p>
    <w:p>
      <w:r>
        <w:rPr>
          <w:b/>
        </w:rPr>
        <w:t xml:space="preserve">Paso 1: </w:t>
      </w:r>
    </w:p>
    <w:p>
      <w:r>
        <w:rPr>
          <w:b/>
        </w:rPr>
        <w:t xml:space="preserve">Paso 2: </w:t>
      </w:r>
    </w:p>
    <w:p>
      <w:r>
        <w:rPr>
          <w:b/>
        </w:rPr>
        <w:t xml:space="preserve">Paso 3: </w:t>
      </w:r>
    </w:p>
    <w:p>
      <w:r>
        <w:rPr>
          <w:b/>
        </w:rPr>
        <w:t xml:space="preserve">Paso 4: </w:t>
      </w:r>
    </w:p>
    <w:p>
      <w:r>
        <w:rPr>
          <w:b/>
        </w:rPr>
        <w:t xml:space="preserve">Paso 5: </w:t>
      </w:r>
    </w:p>
    <w:p>
      <w:pPr>
        <w:pStyle w:val="Heading2"/>
      </w:pPr>
      <w:r>
        <w:t>6) Accesibilidad / UDL (marca)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5112"/>
        <w:gridCol w:w="5112"/>
      </w:tblGrid>
      <w:tr>
        <w:tc>
          <w:tcPr>
            <w:tcW w:type="dxa" w:w="5112"/>
          </w:tcPr>
          <w:p>
            <w:r>
              <w:t>□ Contraste alto</w:t>
            </w:r>
          </w:p>
        </w:tc>
        <w:tc>
          <w:tcPr>
            <w:tcW w:type="dxa" w:w="5112"/>
          </w:tcPr>
          <w:p>
            <w:r>
              <w:t>□ Lectura fácil</w:t>
            </w:r>
          </w:p>
        </w:tc>
      </w:tr>
      <w:tr>
        <w:tc>
          <w:tcPr>
            <w:tcW w:type="dxa" w:w="5112"/>
          </w:tcPr>
          <w:p>
            <w:r>
              <w:t>□ Pictogramas + texto</w:t>
            </w:r>
          </w:p>
        </w:tc>
        <w:tc>
          <w:tcPr>
            <w:tcW w:type="dxa" w:w="5112"/>
          </w:tcPr>
          <w:p>
            <w:r>
              <w:t>□ Subtítulos</w:t>
            </w:r>
          </w:p>
        </w:tc>
      </w:tr>
      <w:tr>
        <w:tc>
          <w:tcPr>
            <w:tcW w:type="dxa" w:w="5112"/>
          </w:tcPr>
          <w:p>
            <w:r>
              <w:t>□ Alt‑text</w:t>
            </w:r>
          </w:p>
        </w:tc>
        <w:tc>
          <w:tcPr>
            <w:tcW w:type="dxa" w:w="5112"/>
          </w:tcPr>
          <w:p>
            <w:r>
              <w:t>□ Audio TTS</w:t>
            </w:r>
          </w:p>
        </w:tc>
      </w:tr>
      <w:tr>
        <w:tc>
          <w:tcPr>
            <w:tcW w:type="dxa" w:w="5112"/>
          </w:tcPr>
          <w:p>
            <w:r>
              <w:t>□ Paso a paso (≤5)</w:t>
            </w:r>
          </w:p>
        </w:tc>
        <w:tc>
          <w:tcPr>
            <w:tcW w:type="dxa" w:w="5112"/>
          </w:tcPr>
          <w:p>
            <w:r>
              <w:t>□ Versión sin IA / offline</w:t>
            </w:r>
          </w:p>
        </w:tc>
      </w:tr>
    </w:tbl>
    <w:p/>
    <w:p>
      <w:pPr>
        <w:pStyle w:val="Heading2"/>
      </w:pPr>
      <w:r>
        <w:t>7) Materiales y apps</w:t>
      </w:r>
    </w:p>
    <w:p>
      <w:r>
        <w:rPr>
          <w:b/>
        </w:rPr>
        <w:t xml:space="preserve">Materiales: </w:t>
      </w:r>
      <w:r>
        <w:t>Ej.: PLA blanco, cartulina A4, pictos…</w:t>
      </w:r>
    </w:p>
    <w:p>
      <w:r>
        <w:rPr>
          <w:b/>
        </w:rPr>
        <w:t xml:space="preserve">Apps/Soft: </w:t>
      </w:r>
      <w:r>
        <w:t>Ej.: Cura, Canva, CapCut, visor 3D, generador QR, TTS…</w:t>
      </w:r>
    </w:p>
    <w:p>
      <w:pPr>
        <w:pStyle w:val="Heading2"/>
      </w:pPr>
      <w:r>
        <w:t>8) Consejos de seguridad (si aplica)</w:t>
      </w:r>
    </w:p>
    <w:p>
      <w:r>
        <w:rPr>
          <w:b/>
        </w:rPr>
        <w:t xml:space="preserve">Notas: </w:t>
      </w:r>
    </w:p>
    <w:p/>
    <w:p/>
    <w:p/>
    <w:p>
      <w:pPr>
        <w:pStyle w:val="Heading2"/>
      </w:pPr>
      <w:r>
        <w:t>9) Versiones (cambios)</w:t>
      </w:r>
    </w:p>
    <w:p>
      <w:r>
        <w:rPr>
          <w:b/>
        </w:rPr>
        <w:t xml:space="preserve">v1.0: </w:t>
      </w:r>
      <w:r>
        <w:t>Publicación inicial.</w:t>
      </w:r>
    </w:p>
    <w:p>
      <w:r>
        <w:rPr>
          <w:b/>
        </w:rPr>
        <w:t xml:space="preserve">v1.1: </w:t>
      </w:r>
      <w:r>
        <w:t>Mejoras tras feedback.</w:t>
      </w:r>
    </w:p>
    <w:p/>
    <w:p>
      <w:pPr>
        <w:pStyle w:val="Heading2"/>
      </w:pPr>
      <w:r>
        <w:t>10) Licencia y créditos</w:t>
      </w:r>
    </w:p>
    <w:p>
      <w:r>
        <w:rPr>
          <w:b/>
        </w:rPr>
        <w:t xml:space="preserve">Licencia: </w:t>
      </w:r>
      <w:r>
        <w:t>Creative Commons BY‑NC‑SA (recomendada para aulas).</w:t>
      </w:r>
    </w:p>
    <w:p>
      <w:r>
        <w:rPr>
          <w:b/>
        </w:rPr>
        <w:t xml:space="preserve">Créditos: </w:t>
      </w:r>
      <w:r>
        <w:t>Autores (nombres de pila) + centros.</w:t>
      </w:r>
    </w:p>
    <w:p>
      <w:pPr>
        <w:pStyle w:val="Heading2"/>
      </w:pPr>
      <w:r>
        <w:t>11) Mini‑demo (30–45 s) y QR</w:t>
      </w:r>
    </w:p>
    <w:p>
      <w:r>
        <w:rPr>
          <w:b/>
        </w:rPr>
        <w:t xml:space="preserve">Enlace al vídeo: </w:t>
      </w:r>
    </w:p>
    <w:p>
      <w:r>
        <w:rPr>
          <w:b/>
        </w:rPr>
        <w:t xml:space="preserve">Enlace/archivo del QR: </w:t>
      </w:r>
    </w:p>
    <w:p>
      <w:pPr>
        <w:pStyle w:val="Heading2"/>
      </w:pPr>
      <w:r>
        <w:t>12) Etiquetas</w:t>
      </w:r>
    </w:p>
    <w:p>
      <w:r>
        <w:rPr>
          <w:b/>
        </w:rPr>
        <w:t xml:space="preserve">Tags: </w:t>
      </w:r>
      <w:r>
        <w:t>Ej.: #3D-print #lectura-fácil #pictos #TTS #subtítulos #calm-tech #AR-QR #guía-rápida #plantilla</w:t>
      </w:r>
    </w:p>
    <w:p>
      <w:pPr>
        <w:pStyle w:val="Heading2"/>
      </w:pPr>
      <w:r>
        <w:t>Checklist de publicación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224"/>
      </w:tblGrid>
      <w:tr>
        <w:tc>
          <w:tcPr>
            <w:tcW w:type="dxa" w:w="10224"/>
          </w:tcPr>
          <w:p>
            <w:r>
              <w:t>□ Archivos subidos (STL/3MF, PNG/PDF, MP4/MP3)</w:t>
            </w:r>
          </w:p>
        </w:tc>
      </w:tr>
      <w:tr>
        <w:tc>
          <w:tcPr>
            <w:tcW w:type="dxa" w:w="10224"/>
          </w:tcPr>
          <w:p>
            <w:r>
              <w:t>□ Subtítulos/Alt‑text/Audio TTS añadidos</w:t>
            </w:r>
          </w:p>
        </w:tc>
      </w:tr>
      <w:tr>
        <w:tc>
          <w:tcPr>
            <w:tcW w:type="dxa" w:w="10224"/>
          </w:tcPr>
          <w:p>
            <w:r>
              <w:t>□ Licencia y créditos rellenados</w:t>
            </w:r>
          </w:p>
        </w:tc>
      </w:tr>
      <w:tr>
        <w:tc>
          <w:tcPr>
            <w:tcW w:type="dxa" w:w="10224"/>
          </w:tcPr>
          <w:p>
            <w:r>
              <w:t>□ Mini‑demo (30–45 s) incluida</w:t>
            </w:r>
          </w:p>
        </w:tc>
      </w:tr>
      <w:tr>
        <w:tc>
          <w:tcPr>
            <w:tcW w:type="dxa" w:w="10224"/>
          </w:tcPr>
          <w:p>
            <w:r>
              <w:t>□ Checklist UDL marcado</w:t>
            </w:r>
          </w:p>
        </w:tc>
      </w:tr>
      <w:tr>
        <w:tc>
          <w:tcPr>
            <w:tcW w:type="dxa" w:w="10224"/>
          </w:tcPr>
          <w:p>
            <w:r>
              <w:t>□ Rúbrica exprés ≥ 6/8</w:t>
            </w:r>
          </w:p>
        </w:tc>
      </w:tr>
    </w:tbl>
    <w:p/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