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66091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2420875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366091"/>
              <w:sz w:val="32"/>
              <w:szCs w:val="3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bookmarkStart w:colFirst="0" w:colLast="0" w:name="bookmark=id.tjo30773rrvz" w:id="0"/>
    <w:bookmarkEnd w:id="0"/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AMP Classifier — technical report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four-model head-to-head on antimicrobial peptide classification, with cluster-aware evaluation, calibration analysis, and a frozen protein-LM demonstration of where engineered features hit their ceiling.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Author: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G. Daniel Gonzalez Lozano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(postdoctoral, Tecnológico de Monterrey × DTU)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Date: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2026-05-17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Source: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https://github.com/&lt;HF_USERNAME&gt;/amp-classifier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6mi62daqc12h" w:id="1"/>
    <w:bookmarkEnd w:id="1"/>
    <w:p w:rsidR="00000000" w:rsidDel="00000000" w:rsidP="00000000" w:rsidRDefault="00000000" w:rsidRPr="00000000" w14:paraId="00000008">
      <w:pPr>
        <w:pStyle w:val="Heading2"/>
        <w:rPr/>
      </w:pPr>
      <w:r w:rsidDel="00000000" w:rsidR="00000000" w:rsidRPr="00000000">
        <w:rPr>
          <w:rtl w:val="0"/>
        </w:rPr>
        <w:t xml:space="preserve">Abstract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 trained four sequence-only classifiers for binary antimicrobial-peptide (AMP) prediction on a cluster-aware 80/10/10 split of 20,476 peptides (9,224 DRAMP 3.x / 4.x positives + 11,252 length-matched UniProt SwissProt negatives). On the held-out test set, an XGBoost on 428 engineered physicochemical features achieved AUC 0.864 [0.845–0.880], narrowly tying RandomForest and clearly beating logistic regression. A small one-hot CNN trailed at AUC 0.837 [0.818–0.854] and required Platt calibration to produce usable threshold-based metrics (MCC@0.5 0.138 → 0.570). A small MLP head on top of frozen ESM2-650M embeddings cleared the engineered-feature ceiling cleanly at AUC 0.919 [0.906–0.931] and MCC 0.697 [0.667–0.730], with CIs that do not overlap XGBoost’s on either metric — a statistically clean +5.5 AUC, +0.076 MCC margin. A multi-label head trained on the AMP-positive subset against four activity classes (antibacterial, antifungal, antiviral, antiparasitic) reached macro-AUC 0.806; antiviral was the strongest single-class signal (AUC 0.872), antiparasitic was statistically uninformative (5 test positives). A discriminator-in-the-loop design tool wraps the ESM head in a greedy beam search over single-residue mutations of a parent AMP; applied to magainin-2 (parent score 0.9954), all ten top-ranked single- and double-mutants introduce Tryptophan substitutions at positions on one amphipathic-helix face, rediscovering a literature-known AMP design heuristic from training data alone. The full pipeline runs end-to-end on a laptop RTX 4060 in under 30 minutes after the data step; a local Gradio demo serves side-by-side predictions from XGBoost, the calibrated CNN, and the ESM head, with a cytochrome-c-N-terminus example that exposes the charge-driven false positive engineered models fall for and ESM correctly rejects, plus a Design tab for proposing mutant peptides from any of five canonical AMP scaffolds.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m4yxv37d8x2i" w:id="2"/>
    <w:bookmarkEnd w:id="2"/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Antimicrobial peptides (AMPs) are short host-defence sequences that disrupt microbial membranes and are an active drug-discovery target as resistance to small-molecule antibiotics climbs.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silico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AMP classification is a useful first-pass filter on designed or naturally-occurring peptides before wet-lab assays. The field has a ~25-year computational tradition stretching from CAMP and AntiBP to iAMPpred (engineered features + Random Forest), AMP-Scanner (one-hot CNN), and more recent attention-based predictors like AMPlify.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Three problems in the existing literature motivate this work: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Reported metrics are often inflated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by random train/test splits on sequence-redundant corpora. AMP sequences cluster heavily into families (defensins, cathelicidins, magainins, cecropins), and a peptide can sit in train while its 60%-identity homolog sits in test, leaking information across the boundary. Cluster-aware splits at 40% identity routinely drop reported AUC by 10–15 points relative to random splits on the same corpus.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Engineered-feature models and deep models are rarely compared on the same split.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When they are, the engineered baseline often wins or ties, but the literature framing rewards the deep models. Honest side-by-side reporting is the exception, not the rule.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Activity-class granularity is left implicit.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Most “AMP classifiers” predict binary AMP-vs-non-AMP, even though the downstream consumer wants to know whether their peptide is antibacterial, antifungal, antiviral, or antiparasitic.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report addresses all three: a cluster-aware split with cluster- purity assertion as a CI gate; a four-model head-to-head (LogReg, RandomForest, XGBoost, one-hot CNN, ESM2-650M-head) on the same test set with bootstrap-CI’d metrics; and a multi-label activity head on top of the ESM embeddings, with honest treatment of the under-sampled antiparasitic class.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contribution is the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honest comparison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not a new architecture. The ESM2-head model is the canonical “frozen-embedding + small head” recipe applied carefully to a properly-split corpus.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qs0oxlbyhyh" w:id="3"/>
    <w:bookmarkEnd w:id="3"/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2. Data</w:t>
      </w:r>
    </w:p>
    <w:bookmarkStart w:colFirst="0" w:colLast="0" w:name="bookmark=id.epusfie5xqam" w:id="4"/>
    <w:bookmarkEnd w:id="4"/>
    <w:p w:rsidR="00000000" w:rsidDel="00000000" w:rsidP="00000000" w:rsidRDefault="00000000" w:rsidRPr="00000000" w14:paraId="00000015">
      <w:pPr>
        <w:pStyle w:val="Heading3"/>
        <w:rPr/>
      </w:pPr>
      <w:r w:rsidDel="00000000" w:rsidR="00000000" w:rsidRPr="00000000">
        <w:rPr>
          <w:rtl w:val="0"/>
        </w:rPr>
        <w:t xml:space="preserve">2.1 Corpus assembly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Positives.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All 11,612 general-AMP entries from DRAMP (3.x and 4.x merged, IDs ranging DRAMP00005 to DRAMP35990) were downloaded as a bulk FASTA via a scrape of the DRAMP downloads index page (the documented bulk URLs vary across releases). After filtering to the canonical 20 amino acids and the length range [5, 200] aa, and deduplicating by sequence (DRAMP indexes the same canonical sequence under multiple entry IDs for different organisms or patents), 9,224 unique positive sequences remained.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Negatives.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Reviewed SwissProt entries length 5–200 aa with no antimicrobial-keyword annotation (KW-0929 Antimicrobial, KW-0044 Antibiotic, KW-0211 Defensin, plus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cc_function:antimicrobial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free-text exclusions for cathelicidin / magainin / cecropin / bacteriocin / defensin) were streamed from the UniProt REST API (target 5 × the positive count, ~49 k entries, then rejection-sampled into length-matched bins). When the short-pass sample underfilled short-length bins (peptides are short; reviewed-SwissProt skews longer), the script fetched SwissProt entries length 201–5,000 aa without signal-peptide annotation (KW-0732 excluded) and produced random-offset fragments at lengths drawn from the positives’ histogram, following the Veltri 2018 / Meher 2017 negative-construction pattern. After deduplication and removal of 153 sequences appearing in both classes (real overlap from precursor proteins of mature AMPs in SwissProt), 11,252 negatives remained. Final class ratio 1.22:1, just beyond the ±20% spec.</w:t>
      </w:r>
    </w:p>
    <w:bookmarkStart w:colFirst="0" w:colLast="0" w:name="bookmark=id.if5bwyj14a18" w:id="5"/>
    <w:bookmarkEnd w:id="5"/>
    <w:p w:rsidR="00000000" w:rsidDel="00000000" w:rsidP="00000000" w:rsidRDefault="00000000" w:rsidRPr="00000000" w14:paraId="00000018">
      <w:pPr>
        <w:pStyle w:val="Heading3"/>
        <w:rPr/>
      </w:pPr>
      <w:r w:rsidDel="00000000" w:rsidR="00000000" w:rsidRPr="00000000">
        <w:rPr>
          <w:rtl w:val="0"/>
        </w:rPr>
        <w:t xml:space="preserve">2.2 Cluster-aware splits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merged 20,476-sequence corpus was clustered with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mmseqs2 easy-cluster --min-seq-id 0.4 -c 0.8 --cov-mode 0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producing 14,162 clusters (average size 1.45). Clusters were assigned to 80/10/10 train/val/test splits via greedy bin-packing per class (amp-pure clusters and neg-pure clusters bin-packed independently; 59 mixed clusters — sequences where an AMP and a non-AMP clustered together at 40% identity, mostly defensin precursors — were assigned to train so val/test stayed label-clean). Resulting split sizes: 16,537 train / 1,970 val / 1,969 test, with positive fractions of 45.1% / 44.8% / 44.8% — class balance preserved across splits.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unit test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tests/test_splits.py::test_no_cluster_spans_splits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asserts that no cluster appears in more than one split. This is the property that makes the held-out metrics honestly comparable to published baselines. The full test suite (44 tests) is green before training.</w:t>
      </w:r>
    </w:p>
    <w:bookmarkStart w:colFirst="0" w:colLast="0" w:name="bookmark=id.3myos13o0gs5" w:id="6"/>
    <w:bookmarkEnd w:id="6"/>
    <w:p w:rsidR="00000000" w:rsidDel="00000000" w:rsidP="00000000" w:rsidRDefault="00000000" w:rsidRPr="00000000" w14:paraId="0000001B">
      <w:pPr>
        <w:pStyle w:val="Heading3"/>
        <w:rPr/>
      </w:pPr>
      <w:r w:rsidDel="00000000" w:rsidR="00000000" w:rsidRPr="00000000">
        <w:rPr>
          <w:rtl w:val="0"/>
        </w:rPr>
        <w:t xml:space="preserve">2.3 Provenance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DRAMP is distributed under CC-BY-NC for academic use; this report and the released code inherit that restriction. UniProt SwissProt is CC-BY 4.0. The fragmentation pattern is cited explicitly in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docs/data_card.md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per Veltri 2018 and Meher 2017.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xbmrfijhi3sh" w:id="7"/>
    <w:bookmarkEnd w:id="7"/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3. Methods</w:t>
      </w:r>
    </w:p>
    <w:bookmarkStart w:colFirst="0" w:colLast="0" w:name="bookmark=id.tgpsxvt6mgxy" w:id="8"/>
    <w:bookmarkEnd w:id="8"/>
    <w:p w:rsidR="00000000" w:rsidDel="00000000" w:rsidP="00000000" w:rsidRDefault="00000000" w:rsidRPr="00000000" w14:paraId="0000001F">
      <w:pPr>
        <w:pStyle w:val="Heading3"/>
        <w:rPr/>
      </w:pPr>
      <w:r w:rsidDel="00000000" w:rsidR="00000000" w:rsidRPr="00000000">
        <w:rPr>
          <w:rtl w:val="0"/>
        </w:rPr>
        <w:t xml:space="preserve">3.1 Engineered features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428-dimensional feature vector was computed per peptide via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ml/features.py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shared between training and runtime inference: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20 amino-acid composition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features (fraction per residue)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400 dipeptide composition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features (fraction per ordered AA pair)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 Biopython ProtParam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scalars: length, isoelectric point, instability index, aromaticity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 derived scalars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net charge at pH 7 (Henderson–Hasselbalch), mean Kyte–Doolittle hydrophobicity, Boman index, and max Eisenberg hydrophobic moment over an 11-residue sliding window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Each scalar feature has a hand-computed unit test in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tests/test_features.py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(31 tests total) that pins expected values against literature scales — e.g. mean KD for isoleucine = 4.5, Boman index of pure leucine = +4.92, alternating amphipathic sequence has a higher Eisenberg moment than an all-alanine sequence.</w:t>
      </w:r>
    </w:p>
    <w:bookmarkStart w:colFirst="0" w:colLast="0" w:name="bookmark=id.4szl1oa9v5kj" w:id="9"/>
    <w:bookmarkEnd w:id="9"/>
    <w:p w:rsidR="00000000" w:rsidDel="00000000" w:rsidP="00000000" w:rsidRDefault="00000000" w:rsidRPr="00000000" w14:paraId="00000026">
      <w:pPr>
        <w:pStyle w:val="Heading3"/>
        <w:rPr/>
      </w:pPr>
      <w:r w:rsidDel="00000000" w:rsidR="00000000" w:rsidRPr="00000000">
        <w:rPr>
          <w:rtl w:val="0"/>
        </w:rPr>
        <w:t xml:space="preserve">3.2 Baseline classifiers (Phase 1)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Three sklearn classifiers were trained on the engineered features with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class_weight='balanced'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(or XGBoost’s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scale_pos_weight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for the 1.22:1 class imbalance: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Logistic regression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L2,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C=1.0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 forest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200 trees, no depth limit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XGBoost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500 trees max, max depth 6, early stop on val AUC (patience 20), histogram tree method</w:t>
      </w:r>
    </w:p>
    <w:bookmarkStart w:colFirst="0" w:colLast="0" w:name="bookmark=id.cwd6u19tjund" w:id="10"/>
    <w:bookmarkEnd w:id="10"/>
    <w:p w:rsidR="00000000" w:rsidDel="00000000" w:rsidP="00000000" w:rsidRDefault="00000000" w:rsidRPr="00000000" w14:paraId="0000002B">
      <w:pPr>
        <w:pStyle w:val="Heading3"/>
        <w:rPr/>
      </w:pPr>
      <w:r w:rsidDel="00000000" w:rsidR="00000000" w:rsidRPr="00000000">
        <w:rPr>
          <w:rtl w:val="0"/>
        </w:rPr>
        <w:t xml:space="preserve">3.3 Small CNN (Phase 1, refined in Phase 2A)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192k-parameter Conv1D model on one-hot encoded sequences padded to length 100 (21 channels: 20 AA + 1 PAD): 3 × Conv1D (96, 192, 192 channels, kernel 3, padding 1) + BatchNorm + ReLU + Dropout(0.4), global max pool over length, FC(192→96) + BN + FC(96→1). BCE with positive class weight 1.22, AdamW lr=1e-4 weight_decay=1e-3, batch 64, early stop on val AUC patience 15.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first-pass V1 of this architecture (64/128/128 channels, no BatchNorm, dropout 0.2, lr 3e-4) overfit dramatically: val AUC peaked at 0.81 by epoch 2 and dropped as training loss continued falling. V2 landed val AUC 0.844 at epoch 48. The V2 trained-model’s score distribution is shifted near zero (BCE pos_weight × BatchNorm pushes outputs down) so MCC at the standard t=0.5 threshold is misleading (0.138).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Phase 2A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therefore fits a Platt scaler — a LogisticRegression on val logits — saved as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cnn_calibrator.joblib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applied at inference. AUC is preserved (Platt is monotonic) and MCC@0.5 recovers to 0.570.</w:t>
      </w:r>
    </w:p>
    <w:bookmarkStart w:colFirst="0" w:colLast="0" w:name="bookmark=id.9dl9wtlhykdi" w:id="11"/>
    <w:bookmarkEnd w:id="11"/>
    <w:p w:rsidR="00000000" w:rsidDel="00000000" w:rsidP="00000000" w:rsidRDefault="00000000" w:rsidRPr="00000000" w14:paraId="0000002E">
      <w:pPr>
        <w:pStyle w:val="Heading3"/>
        <w:rPr/>
      </w:pPr>
      <w:r w:rsidDel="00000000" w:rsidR="00000000" w:rsidRPr="00000000">
        <w:rPr>
          <w:rtl w:val="0"/>
        </w:rPr>
        <w:t xml:space="preserve">3.4 ESM2-650M frozen embeddings + small head (Phase 2B)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facebook/esm2_t33_650M_UR50D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backbone (650M params, 1280-dim hidden state) was loaded with HuggingFace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transformers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moved to a GPU (RTX 4060 Laptop, CUDA 12.4), and run in inference mode. Per-sequence embeddings were computed by mean-pooling the last hidden state over non-padding tokens, then cached to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ml/data/processed/esm_{train,val,test}.npz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Wall-clock for all 20,476 sequences at batch 8 on the 4060: ~1 minute.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small MLP head (1280 → 640 → 320 → 1, BatchNorm + Dropout(0.3)) was trained on the cached embeddings with the same BCE+pos_weight recipe as the CNN. Convergence was rapid: val AUC peaked at 0.925 at epoch 6 (early stop fired at epoch 21).</w:t>
      </w:r>
    </w:p>
    <w:bookmarkStart w:colFirst="0" w:colLast="0" w:name="bookmark=id.wikslwf05x6a" w:id="12"/>
    <w:bookmarkEnd w:id="12"/>
    <w:p w:rsidR="00000000" w:rsidDel="00000000" w:rsidP="00000000" w:rsidRDefault="00000000" w:rsidRPr="00000000" w14:paraId="00000031">
      <w:pPr>
        <w:pStyle w:val="Heading3"/>
        <w:rPr/>
      </w:pPr>
      <w:r w:rsidDel="00000000" w:rsidR="00000000" w:rsidRPr="00000000">
        <w:rPr>
          <w:rtl w:val="0"/>
        </w:rPr>
        <w:t xml:space="preserve">3.5 Multi-label activity head (Phase 2C)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Activity labels were extracted from the DRAMP general-AMP XLSX metadata file (auto-downloaded from the DRAMP downloads page), joining on DRAMP ID. The free-text “Activity” column was mapped to four canonical classes by substring matching: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antibacterial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← Antibacterial, Anti-Gram+, Anti-Gram-, Antibiofilm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antifungal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← Antifungal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antiviral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← Antiviral, Anti-HIV, Anti-HCV, Anti-SARS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antiparasitic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← Antiparasitic, Antiprotozoal, Antimalarial, etc.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Each peptide can be positive in multiple classes (defensins are typically both antibacterial AND antifungal). Of 9,224 positives, class counts were 8,841 (95.8%) antibacterial, 1,766 (19.1%) antifungal, 1,650 (17.9%) antiviral, and 81 (0.9%) antiparasitic; 369 (4.0%) entries had only out-of-vocabulary activity tags (anti-tumor, insecticidal, etc.) and were retained as features-only inputs but did not score for any of the four classes.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multi-label head shares the binary head’s MLP architecture but outputs 4 sigmoid logits, trained with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BCEWithLogitsLoss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a per-class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pos_weight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clipped at 50 (the antiparasitic raw weight was ~110×, which destabilises training when uncapped).</w:t>
      </w:r>
    </w:p>
    <w:bookmarkStart w:colFirst="0" w:colLast="0" w:name="bookmark=id.ukf5xlk9mi2y" w:id="13"/>
    <w:bookmarkEnd w:id="13"/>
    <w:p w:rsidR="00000000" w:rsidDel="00000000" w:rsidP="00000000" w:rsidRDefault="00000000" w:rsidRPr="00000000" w14:paraId="00000039">
      <w:pPr>
        <w:pStyle w:val="Heading3"/>
        <w:rPr/>
      </w:pPr>
      <w:r w:rsidDel="00000000" w:rsidR="00000000" w:rsidRPr="00000000">
        <w:rPr>
          <w:rtl w:val="0"/>
        </w:rPr>
        <w:t xml:space="preserve">3.6 Evaluation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Bootstrap n=1000 95% CIs at seed 42 across all reports, in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ml/eval_common.py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Per-class AUC, MCC, sensitivity, specificity, F1. Stratification by sequence length (≤20, 21–50, &gt;50) and net charge at pH 7 (≤0, 0–5, &gt;5). Single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_compute_metric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function shared across all evaluators so cross-model comparisons run through one pipeline.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n37vufczdtmr" w:id="14"/>
    <w:bookmarkEnd w:id="14"/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4. Results</w:t>
      </w:r>
    </w:p>
    <w:bookmarkStart w:colFirst="0" w:colLast="0" w:name="bookmark=id.5xjwbpxu07ry" w:id="15"/>
    <w:bookmarkEnd w:id="15"/>
    <w:p w:rsidR="00000000" w:rsidDel="00000000" w:rsidP="00000000" w:rsidRDefault="00000000" w:rsidRPr="00000000" w14:paraId="0000003D">
      <w:pPr>
        <w:pStyle w:val="Heading3"/>
        <w:rPr/>
      </w:pPr>
      <w:r w:rsidDel="00000000" w:rsidR="00000000" w:rsidRPr="00000000">
        <w:rPr>
          <w:rtl w:val="0"/>
        </w:rPr>
        <w:t xml:space="preserve">4.1 Binary classification — head-to-head</w:t>
      </w:r>
    </w:p>
    <w:tbl>
      <w:tblPr>
        <w:tblStyle w:val="Table1"/>
        <w:tblW w:w="7920.0" w:type="dxa"/>
        <w:jc w:val="left"/>
        <w:tblInd w:w="-108.0" w:type="dxa"/>
        <w:tblLayout w:type="fixed"/>
        <w:tblLook w:val="000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vAlign w:val="bottom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Model</w:t>
            </w:r>
          </w:p>
        </w:tc>
        <w:tc>
          <w:tcPr>
            <w:tcBorders>
              <w:bottom w:color="000000" w:space="0" w:sz="0" w:val="nil"/>
            </w:tcBorders>
            <w:vAlign w:val="bottom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AUC</w:t>
            </w:r>
          </w:p>
        </w:tc>
        <w:tc>
          <w:tcPr>
            <w:tcBorders>
              <w:bottom w:color="000000" w:space="0" w:sz="0" w:val="nil"/>
            </w:tcBorders>
            <w:vAlign w:val="bottom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MCC</w:t>
            </w:r>
          </w:p>
        </w:tc>
        <w:tc>
          <w:tcPr>
            <w:tcBorders>
              <w:bottom w:color="000000" w:space="0" w:sz="0" w:val="nil"/>
            </w:tcBorders>
            <w:vAlign w:val="bottom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Threshold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LogReg</w:t>
            </w:r>
          </w:p>
        </w:tc>
        <w:tc>
          <w:tcPr/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0.825 [0.805–0.844]</w:t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0.542 [0.504–0.579]</w:t>
            </w:r>
          </w:p>
        </w:tc>
        <w:tc>
          <w:tcPr/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RandomForest</w:t>
            </w:r>
          </w:p>
        </w:tc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0.863 [0.845–0.879]</w:t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0.636 [0.602–0.668]</w:t>
            </w:r>
          </w:p>
        </w:tc>
        <w:tc>
          <w:tcPr/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XGBoost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0.864 [0.845–0.880]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0.621 [0.587–0.652]</w:t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CNN (raw + tuned t)</w:t>
            </w:r>
          </w:p>
        </w:tc>
        <w:tc>
          <w:tcPr/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0.837 [0.818–0.854]</w:t>
            </w:r>
          </w:p>
        </w:tc>
        <w:tc>
          <w:tcPr/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0.477 [0.449–0.506]</w:t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val-tuned t=0.050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CNN (Platt-calibrated)</w:t>
            </w:r>
          </w:p>
        </w:tc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0.837 [0.818–0.854]</w:t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0.570 [0.534–0.606]</w:t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ESM2-650M + MLP head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0.919 [0.906–0.931]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0.697 [0.667–0.730]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0.5</w:t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Phase 1 finding: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XGBoost and RandomForest are statistically tied at the top of the engineered-feature group (CIs overlap heavily). LogReg trails by ~4 AUC points, showing that the engineered features carry meaningful nonlinear interactions. The CNN ranks competitively on AUC but trails on MCC even after calibration — a 192k-parameter one-hot model has neither the data nor the inductive bias to match boosted trees on engineered features for this corpus size.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Phase 2B finding: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ESM2-650M frozen embeddings clear XGBoost’s ceiling decisively. The +5.5 AUC and +0.076 MCC margins are larger than the 95% bootstrap CIs of either model — the CIs do not overlap on either metric. This is the canonical “frozen protein-LM embeddings beat hand-engineered features once you have a few thousand training examples” result, replicated cleanly on a properly cluster-aware split.</w:t>
      </w:r>
    </w:p>
    <w:bookmarkStart w:colFirst="0" w:colLast="0" w:name="bookmark=id.i7f6qxvbflu8" w:id="16"/>
    <w:bookmarkEnd w:id="16"/>
    <w:p w:rsidR="00000000" w:rsidDel="00000000" w:rsidP="00000000" w:rsidRDefault="00000000" w:rsidRPr="00000000" w14:paraId="0000005C">
      <w:pPr>
        <w:pStyle w:val="Heading3"/>
        <w:rPr/>
      </w:pPr>
      <w:r w:rsidDel="00000000" w:rsidR="00000000" w:rsidRPr="00000000">
        <w:rPr>
          <w:rtl w:val="0"/>
        </w:rPr>
        <w:t xml:space="preserve">4.2 Stratified analysis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Across all models, AUC stratified by length is highest in the medium bin (21–50 aa) and lowest in the long bin (&gt;50 aa). This is partly data-driven — the medium bin has the most positives — and partly model behaviour: the CNN’s fixed-length one-hot input is most informative for sequences shorter than its max length. The ESM head’s length-stratified AUCs are tighter than the engineered models’, suggesting it generalises more uniformly across sequence lengths.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Charge-stratified AUCs are roughly flat for ESM but show a sharp positive-charge bias for XGBoost (cytochrome-c-N-terminus case discussed in §4.4 below). Full per-bin numbers in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docs/baseline_results.md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docs/cnn_results.md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bookmarkStart w:colFirst="0" w:colLast="0" w:name="bookmark=id.mfnk3omegffz" w:id="17"/>
    <w:bookmarkEnd w:id="17"/>
    <w:p w:rsidR="00000000" w:rsidDel="00000000" w:rsidP="00000000" w:rsidRDefault="00000000" w:rsidRPr="00000000" w14:paraId="0000005F">
      <w:pPr>
        <w:pStyle w:val="Heading3"/>
        <w:rPr/>
      </w:pPr>
      <w:r w:rsidDel="00000000" w:rsidR="00000000" w:rsidRPr="00000000">
        <w:rPr>
          <w:rtl w:val="0"/>
        </w:rPr>
        <w:t xml:space="preserve">4.3 Multi-label activity</w:t>
      </w:r>
    </w:p>
    <w:tbl>
      <w:tblPr>
        <w:tblStyle w:val="Table2"/>
        <w:jc w:val="left"/>
        <w:tblInd w:w="-108.0" w:type="dxa"/>
        <w:tblLayout w:type="fixed"/>
        <w:tblLook w:val="00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vAlign w:val="bottom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Class</w:t>
            </w:r>
          </w:p>
        </w:tc>
        <w:tc>
          <w:tcPr>
            <w:tcBorders>
              <w:bottom w:color="000000" w:space="0" w:sz="0" w:val="nil"/>
            </w:tcBorders>
            <w:vAlign w:val="bottom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n_pos (test)</w:t>
            </w:r>
          </w:p>
        </w:tc>
        <w:tc>
          <w:tcPr>
            <w:tcBorders>
              <w:bottom w:color="000000" w:space="0" w:sz="0" w:val="nil"/>
            </w:tcBorders>
            <w:vAlign w:val="bottom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AUC (95% CI)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antiviral</w:t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218</w:t>
            </w:r>
          </w:p>
        </w:tc>
        <w:tc>
          <w:tcPr/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0.872 [0.844–0.898]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antibacterial</w:t>
            </w:r>
          </w:p>
        </w:tc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854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0.809 [0.746–0.864]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antiparasitic</w:t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0.811 [0.547–0.979]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antifungal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66</w:t>
            </w:r>
          </w:p>
        </w:tc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0.730 [0.668–0.787]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macro-AUC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36" w:line="240" w:lineRule="auto"/>
              <w:ind w:left="0" w:right="0" w:firstLine="0"/>
              <w:jc w:val="left"/>
              <w:rPr>
                <w:rFonts w:ascii="Cambria" w:cs="Cambria" w:eastAsia="Cambria" w:hAnsi="Cambri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0.806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macro-AUC clears the Phase 2C target of 0.80. Per-class: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antiviral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is the tightest single-class signal, likely because antiviral peptides include sequence-distinctive families (proline- rich, fusion-inhibitor motifs) that ESM2 captures clearly.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antibacterial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is the lowest “real” AUC, because the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within-AMP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problem is genuinely harder than the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AMP-vs-non-AMP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problem when 96% of all positives are antibacterial — the “negatives” for this class are 28 unusual exclusively-antifungal or exclusively-antiviral AMPs.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antifungal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is weakest because antifungal mechanisms overlap heavily with antibacterial (both target membranes).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antiparasitic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has 5 test positives. The point estimate looks fine, but the CI [0.547–0.979] is uninformative. We report the number transparently and recommend pooling with antiprotozoal or dropping the class in any v2.</w:t>
      </w:r>
    </w:p>
    <w:bookmarkStart w:colFirst="0" w:colLast="0" w:name="bookmark=id.p593zy41mp0h" w:id="18"/>
    <w:bookmarkEnd w:id="18"/>
    <w:p w:rsidR="00000000" w:rsidDel="00000000" w:rsidP="00000000" w:rsidRDefault="00000000" w:rsidRPr="00000000" w14:paraId="00000077">
      <w:pPr>
        <w:pStyle w:val="Heading3"/>
        <w:rPr/>
      </w:pPr>
      <w:r w:rsidDel="00000000" w:rsidR="00000000" w:rsidRPr="00000000">
        <w:rPr>
          <w:rtl w:val="0"/>
        </w:rPr>
        <w:t xml:space="preserve">4.4 Demo behaviour — three diagnostic examples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Gradio app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app.py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 loads all three binary models and scores any user-supplied peptide side-by-side. The three pre-populated examples illustrate the head-to-head story.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LL-37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LLGDFFRKSKEKIGKEFKRIVQRIKDFLRNLVPRTES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length 37 — canonical human cathelicidin AMP). All three models correctly call AMP with high confidence: XGBoost 0.993, CNN 0.820, ESM 0.958.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Sanity check passes.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Magainin-2 F12A mutant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GIGKFLHSAKKAGKAFVGEIMNS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length 23 — boundary case, F→A substitution at position 12 of wild-type magainin-2, which the literature suggests reduces but does not abolish activity). All three correctly call AMP: XGBoost 0.996, CNN 0.850, ESM 0.990. The slight reduction in CNN confidence (0.85 vs ~0.95+ for the others) matches its more position-sensitive inductive bias.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Cytochrome c N-terminus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GDVEKGKKIFIMKCSQCHTVEKGGKHKTGPNLHGLFGRKTGQAPGYSY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length 48 — non-AMP, mitochondrial electron-transport protein fragment). XGBoost calls AMP at 0.624 (false positive, driven by net charge +6.00, its top feature by gain). CNN calls AMP at 0.611 (similar charge-driven failure).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ESM correctly calls non-AMP at 0.017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confident rejection. This is the diagnostic moment that shows why ESM beats the engineered baselines: cytochrome c is in ESM’s pretraining corpus (~65M UniRef sequences), so the protein-LM “knows” this fragment is an electron carrier, not a membrane-disrupting peptide. Engineered features have a knowledge ceiling; ESM has read about cytochrome c.</w:t>
      </w:r>
    </w:p>
    <w:bookmarkStart w:colFirst="0" w:colLast="0" w:name="bookmark=id.i7pbks4jlkyz" w:id="19"/>
    <w:bookmarkEnd w:id="19"/>
    <w:p w:rsidR="00000000" w:rsidDel="00000000" w:rsidP="00000000" w:rsidRDefault="00000000" w:rsidRPr="00000000" w14:paraId="0000007C">
      <w:pPr>
        <w:pStyle w:val="Heading3"/>
        <w:rPr/>
      </w:pPr>
      <w:r w:rsidDel="00000000" w:rsidR="00000000" w:rsidRPr="00000000">
        <w:rPr>
          <w:rtl w:val="0"/>
        </w:rPr>
        <w:t xml:space="preserve">4.5 Discriminator-in-the-loop design (Phase 2D)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Design tab in the same Gradio app wraps the ESM head in a greedy beam search over single-residue mutations. Given a parent peptide (LL-37, magainin-2, cecropin A, indolicidin, melittin, or a custom sequence) and a mutation budget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the search expands every beam-member by its 19 × len possible single-residue substitutions, scores all candidates with the ESM head in one batched forward pass, keeps the top beam-width per hop, and after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hops surfaces the global top-K mutants ranked by P(AMP). On a 4060 Laptop GPU, a ~25-aa parent with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n=2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beam_width=10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completes in ~10–15 seconds.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Applied to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magainin-2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(parent ESM-head P(AMP) = 0.9954, near ceiling), the top-10 ranked mutants after two hops with beam-width 10 share a striking pattern: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every single one introduces Tryptophan substitutions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and the substituted positions cluster at residues 6, 10, 13, 15, 17, 19, 21 — which all map to the same face of magainin-2’s amphipathic α-helix (3.6 residues per helical turn means positions 10, 13, 17, 21 are within one turn-width of each other on the same helix face). This is the </w:t>
      </w: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canonical “Trp-anchor amphipathic enhancement”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AMP design heuristic from the literature: aromatic residues at the hydrophobic face of an α-helical AMP improve membrane partitioning, and indolicidin (Trp-rich by design) is the textbook example. The classifier rediscovered this design principle from DRAMP training data alone — no helical-wheel hand-engineering required.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Δ headroom from a parent already at P(AMP) = 0.9954 is small (+0.0045) because the model is honest about diminishing returns on an already-strong AMP. Running the same search on a marginal AMP parent (P(AMP) ≈ 0.6) produces more diverse top-K suggestions; the narrowness of the magainin-2 result is itself evidence the model is behaving sensibly.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design tab is in-silico only. Any wet-lab follow-up would need to validate the proposed Trp-substituted magainin-2 variants against indicator strains, ideally including hemolytic activity measurement since Trp-rich AMPs trend toward higher mammalian membrane toxicity (the inherent risk of the design recipe the model is recommending).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bookmarkStart w:colFirst="0" w:colLast="0" w:name="bookmark=id.2d8egcyw46ql" w:id="20"/>
    <w:bookmarkEnd w:id="20"/>
    <w:p w:rsidR="00000000" w:rsidDel="00000000" w:rsidP="00000000" w:rsidRDefault="00000000" w:rsidRPr="00000000" w14:paraId="00000082">
      <w:pPr>
        <w:pStyle w:val="Heading2"/>
        <w:rPr/>
      </w:pPr>
      <w:r w:rsidDel="00000000" w:rsidR="00000000" w:rsidRPr="00000000">
        <w:rPr>
          <w:rtl w:val="0"/>
        </w:rPr>
        <w:t xml:space="preserve">5. Discussion</w:t>
      </w:r>
    </w:p>
    <w:bookmarkStart w:colFirst="0" w:colLast="0" w:name="bookmark=id.ofcz8ncge82m" w:id="21"/>
    <w:bookmarkEnd w:id="21"/>
    <w:p w:rsidR="00000000" w:rsidDel="00000000" w:rsidP="00000000" w:rsidRDefault="00000000" w:rsidRPr="00000000" w14:paraId="00000083">
      <w:pPr>
        <w:pStyle w:val="Heading3"/>
        <w:rPr/>
      </w:pPr>
      <w:r w:rsidDel="00000000" w:rsidR="00000000" w:rsidRPr="00000000">
        <w:rPr>
          <w:rtl w:val="0"/>
        </w:rPr>
        <w:t xml:space="preserve">5.1 Why ESM wins, and by how much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literature consensus is that frozen protein-LM embeddings add 3–8 AUC points to AMP classifiers depending on corpus size and split discipline. Our +5.5 AUC vs XGBoost on a 40%-identity cluster- aware split is squarely in that range, with non-overlapping CIs that make the comparison statistically clean. The cytochrome-c example provides a mechanistic, single-sequence demonstration of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why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the margin exists — engineered features can only encode what their human designers chose to encode (charge, hydrophobicity, periodicity); ESM encodes the functional context of every protein it has seen during pretraining, including non-AMP cationic proteins like cytochrome c.</w:t>
      </w:r>
    </w:p>
    <w:bookmarkStart w:colFirst="0" w:colLast="0" w:name="bookmark=id.odq5tx5wgyv" w:id="22"/>
    <w:bookmarkEnd w:id="22"/>
    <w:p w:rsidR="00000000" w:rsidDel="00000000" w:rsidP="00000000" w:rsidRDefault="00000000" w:rsidRPr="00000000" w14:paraId="00000085">
      <w:pPr>
        <w:pStyle w:val="Heading3"/>
        <w:rPr/>
      </w:pPr>
      <w:r w:rsidDel="00000000" w:rsidR="00000000" w:rsidRPr="00000000">
        <w:rPr>
          <w:rtl w:val="0"/>
        </w:rPr>
        <w:t xml:space="preserve">5.2 The calibration story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CNN’s Phase-1 score distribution was shifted near zero because BCE+pos_weight pushes the model to predict positive aggressively during training, and BatchNorm sharpens the score distribution. The val-tuned MCC-optimal threshold was 0.050, far from the standard 0.5. Phase 2A fixed this with Platt scaling — a 2-parameter sigmoid fit on val logits, applied at inference. AUC was preserved (Platt is monotonic), and MCC@0.5 lifted from 0.138 to 0.570,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exceeding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the raw + val-tuned-threshold report of 0.477 because the Platt scaler learns scale AND offset together. The ESM head did not need Platt; its output distribution was well-calibrated by default (MCC@0.5 0.697 &gt; MCC@tuned 0.670).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is a useful demonstration of when calibration is and isn’t needed. BCE+pos_weight + BatchNorm = often need Platt. Simpler architectures or different loss balancing often don’t.</w:t>
      </w:r>
    </w:p>
    <w:bookmarkStart w:colFirst="0" w:colLast="0" w:name="bookmark=id.y684gk91tfcp" w:id="23"/>
    <w:bookmarkEnd w:id="23"/>
    <w:p w:rsidR="00000000" w:rsidDel="00000000" w:rsidP="00000000" w:rsidRDefault="00000000" w:rsidRPr="00000000" w14:paraId="00000088">
      <w:pPr>
        <w:pStyle w:val="Heading3"/>
        <w:rPr/>
      </w:pPr>
      <w:r w:rsidDel="00000000" w:rsidR="00000000" w:rsidRPr="00000000">
        <w:rPr>
          <w:rtl w:val="0"/>
        </w:rPr>
        <w:t xml:space="preserve">5.3 Multi-class biology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multi-label head’s per-class AUCs reflect biological reality more than they reflect model limitations: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Antifungal AMPs and antibacterial AMPs share membrane-disrupting mechanisms, and the same peptide is frequently positive in both classes (most defensins, most cecropins). Asking a sequence-only model to separate them is asking it to distinguish which lipid composition the peptide will encounter — information not in the sequence alone.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Antiviral AMPs have more distinctive sequence patterns (proline- rich for some, hairpin motifs for others, specific charge patterns for HIV/HCV fusion inhibition) and correspondingly land a tighter AUC.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Antiparasitic is undersampled in DRAMP itself (81 of 9,224 positives). The wide CI is a data issue, not a model issue.</w:t>
      </w:r>
    </w:p>
    <w:bookmarkStart w:colFirst="0" w:colLast="0" w:name="bookmark=id.hwe7v7dkfj98" w:id="24"/>
    <w:bookmarkEnd w:id="24"/>
    <w:p w:rsidR="00000000" w:rsidDel="00000000" w:rsidP="00000000" w:rsidRDefault="00000000" w:rsidRPr="00000000" w14:paraId="0000008D">
      <w:pPr>
        <w:pStyle w:val="Heading3"/>
        <w:rPr/>
      </w:pPr>
      <w:r w:rsidDel="00000000" w:rsidR="00000000" w:rsidRPr="00000000">
        <w:rPr>
          <w:rtl w:val="0"/>
        </w:rPr>
        <w:t xml:space="preserve">5.4 Discriminator-in-the-loop as a portfolio-grade design tool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Phase 2D’s mutation search is the simplest possible generator — exhaustive single-mutation enumeration filtered by a strong classifier. The lift over a more sophisticated generator (fine-tuned protein LM, sequence VAE, masked-token sampling) is whether you can afford the engineering and training cost; the floor is whether you have a strong classifier to filter with. On this corpus, the ESM head is good enough that a near-trivial generator produces biology-sensible designs.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pattern generalises: for any classification task where a strong scorer exists and the input alphabet is small, exhaustive or beam-search over local mutations + classifier scoring is a viable “generator” that needs no separate training. It will not propose sequences far from the training distribution (no novelty in that sense), but for refinement of known scaffolds — exactly the task here — it is a clean baseline that any more complex generative model needs to clearly beat.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magainin-2 Trp-substitution result is also a useful piece of 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model-introspection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it tells us what the ESM head thinks the prototypical AMP “looks like” along the gradient near magainin-2’s location in sequence space, and the answer aligns with the AMP literature’s design heuristic for that scaffold class. A model whose suggestions did not align with literature design heuristics in a controlled probe like this would deserve more skepticism than the held-out AUC alone could justify.</w:t>
      </w:r>
    </w:p>
    <w:bookmarkStart w:colFirst="0" w:colLast="0" w:name="bookmark=id.f7wtg4ndpz3i" w:id="25"/>
    <w:bookmarkEnd w:id="25"/>
    <w:p w:rsidR="00000000" w:rsidDel="00000000" w:rsidP="00000000" w:rsidRDefault="00000000" w:rsidRPr="00000000" w14:paraId="00000091">
      <w:pPr>
        <w:pStyle w:val="Heading3"/>
        <w:rPr/>
      </w:pPr>
      <w:r w:rsidDel="00000000" w:rsidR="00000000" w:rsidRPr="00000000">
        <w:rPr>
          <w:rtl w:val="0"/>
        </w:rPr>
        <w:t xml:space="preserve">5.5 What the engineered baselines are still good for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Despite losing to ESM, the engineered baselines retain three roles: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 honest comparison floor.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Without them, the ESM-head AUC of 0.919 has no context. With them, the +5.5 AUC margin is interpretable.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fast inference path.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XGBoost scores at hundreds of sequences/sec on CPU; ESM2-650M needs a GPU for comparable throughput. For batch screening pipelines a sub-second tree model may be the right tool.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480" w:right="0" w:hanging="48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**Transpa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."/>
      <w:lvlJc w:val="left"/>
      <w:pPr>
        <w:ind w:left="1200" w:hanging="480"/>
      </w:pPr>
      <w:rPr/>
    </w:lvl>
    <w:lvl w:ilvl="2">
      <w:start w:val="1"/>
      <w:numFmt w:val="decimal"/>
      <w:lvlText w:val="%3."/>
      <w:lvlJc w:val="left"/>
      <w:pPr>
        <w:ind w:left="1920" w:hanging="480"/>
      </w:pPr>
      <w:rPr/>
    </w:lvl>
    <w:lvl w:ilvl="3">
      <w:start w:val="1"/>
      <w:numFmt w:val="decimal"/>
      <w:lvlText w:val="%4."/>
      <w:lvlJc w:val="left"/>
      <w:pPr>
        <w:ind w:left="2640" w:hanging="480"/>
      </w:pPr>
      <w:rPr/>
    </w:lvl>
    <w:lvl w:ilvl="4">
      <w:start w:val="1"/>
      <w:numFmt w:val="decimal"/>
      <w:lvlText w:val="%5."/>
      <w:lvlJc w:val="left"/>
      <w:pPr>
        <w:ind w:left="3360" w:hanging="480"/>
      </w:pPr>
      <w:rPr/>
    </w:lvl>
    <w:lvl w:ilvl="5">
      <w:start w:val="1"/>
      <w:numFmt w:val="decimal"/>
      <w:lvlText w:val="%6."/>
      <w:lvlJc w:val="left"/>
      <w:pPr>
        <w:ind w:left="4080" w:hanging="480"/>
      </w:pPr>
      <w:rPr/>
    </w:lvl>
    <w:lvl w:ilvl="6">
      <w:start w:val="1"/>
      <w:numFmt w:val="decimal"/>
      <w:lvlText w:val="%7."/>
      <w:lvlJc w:val="left"/>
      <w:pPr>
        <w:ind w:left="4800" w:hanging="480"/>
      </w:pPr>
      <w:rPr/>
    </w:lvl>
    <w:lvl w:ilvl="7">
      <w:start w:val="1"/>
      <w:numFmt w:val="decimal"/>
      <w:lvlText w:val="%8."/>
      <w:lvlJc w:val="left"/>
      <w:pPr>
        <w:ind w:left="5520" w:hanging="480"/>
      </w:pPr>
      <w:rPr/>
    </w:lvl>
    <w:lvl w:ilvl="8">
      <w:start w:val="1"/>
      <w:numFmt w:val="decimal"/>
      <w:lvlText w:val="%9."/>
      <w:lvlJc w:val="left"/>
      <w:pPr>
        <w:ind w:left="6240" w:hanging="480"/>
      </w:pPr>
      <w:rPr/>
    </w:lvl>
  </w:abstractNum>
  <w:abstractNum w:abstractNumId="2">
    <w:lvl w:ilvl="0">
      <w:start w:val="0"/>
      <w:numFmt w:val="bullet"/>
      <w:lvlText w:val="•"/>
      <w:lvlJc w:val="left"/>
      <w:pPr>
        <w:ind w:left="480" w:hanging="480"/>
      </w:pPr>
      <w:rPr/>
    </w:lvl>
    <w:lvl w:ilvl="1">
      <w:start w:val="0"/>
      <w:numFmt w:val="bullet"/>
      <w:lvlText w:val="–"/>
      <w:lvlJc w:val="left"/>
      <w:pPr>
        <w:ind w:left="1200" w:hanging="480"/>
      </w:pPr>
      <w:rPr/>
    </w:lvl>
    <w:lvl w:ilvl="2">
      <w:start w:val="0"/>
      <w:numFmt w:val="bullet"/>
      <w:lvlText w:val="•"/>
      <w:lvlJc w:val="left"/>
      <w:pPr>
        <w:ind w:left="1920" w:hanging="480"/>
      </w:pPr>
      <w:rPr/>
    </w:lvl>
    <w:lvl w:ilvl="3">
      <w:start w:val="0"/>
      <w:numFmt w:val="bullet"/>
      <w:lvlText w:val="–"/>
      <w:lvlJc w:val="left"/>
      <w:pPr>
        <w:ind w:left="2640" w:hanging="480"/>
      </w:pPr>
      <w:rPr/>
    </w:lvl>
    <w:lvl w:ilvl="4">
      <w:start w:val="0"/>
      <w:numFmt w:val="bullet"/>
      <w:lvlText w:val="•"/>
      <w:lvlJc w:val="left"/>
      <w:pPr>
        <w:ind w:left="3360" w:hanging="480"/>
      </w:pPr>
      <w:rPr/>
    </w:lvl>
    <w:lvl w:ilvl="5">
      <w:start w:val="0"/>
      <w:numFmt w:val="bullet"/>
      <w:lvlText w:val="–"/>
      <w:lvlJc w:val="left"/>
      <w:pPr>
        <w:ind w:left="4080" w:hanging="480"/>
      </w:pPr>
      <w:rPr/>
    </w:lvl>
    <w:lvl w:ilvl="6">
      <w:start w:val="0"/>
      <w:numFmt w:val="bullet"/>
      <w:lvlText w:val="•"/>
      <w:lvlJc w:val="left"/>
      <w:pPr>
        <w:ind w:left="4800" w:hanging="480"/>
      </w:pPr>
      <w:rPr/>
    </w:lvl>
    <w:lvl w:ilvl="7">
      <w:start w:val="0"/>
      <w:numFmt w:val="bullet"/>
      <w:lvlText w:val="–"/>
      <w:lvlJc w:val="left"/>
      <w:pPr>
        <w:ind w:left="5520" w:hanging="480"/>
      </w:pPr>
      <w:rPr/>
    </w:lvl>
    <w:lvl w:ilvl="8">
      <w:start w:val="0"/>
      <w:numFmt w:val="bullet"/>
      <w:lvlText w:val="•"/>
      <w:lvlJc w:val="left"/>
      <w:pPr>
        <w:ind w:left="6240" w:hanging="480"/>
      </w:pPr>
      <w:rPr/>
    </w:lvl>
  </w:abstractNum>
  <w:abstractNum w:abstractNumId="3">
    <w:lvl w:ilvl="0">
      <w:start w:val="0"/>
      <w:numFmt w:val="bullet"/>
      <w:lvlText w:val="•"/>
      <w:lvlJc w:val="left"/>
      <w:pPr>
        <w:ind w:left="480" w:hanging="480"/>
      </w:pPr>
      <w:rPr/>
    </w:lvl>
    <w:lvl w:ilvl="1">
      <w:start w:val="0"/>
      <w:numFmt w:val="bullet"/>
      <w:lvlText w:val="–"/>
      <w:lvlJc w:val="left"/>
      <w:pPr>
        <w:ind w:left="1200" w:hanging="480"/>
      </w:pPr>
      <w:rPr/>
    </w:lvl>
    <w:lvl w:ilvl="2">
      <w:start w:val="0"/>
      <w:numFmt w:val="bullet"/>
      <w:lvlText w:val="•"/>
      <w:lvlJc w:val="left"/>
      <w:pPr>
        <w:ind w:left="1920" w:hanging="480"/>
      </w:pPr>
      <w:rPr/>
    </w:lvl>
    <w:lvl w:ilvl="3">
      <w:start w:val="0"/>
      <w:numFmt w:val="bullet"/>
      <w:lvlText w:val="–"/>
      <w:lvlJc w:val="left"/>
      <w:pPr>
        <w:ind w:left="2640" w:hanging="480"/>
      </w:pPr>
      <w:rPr/>
    </w:lvl>
    <w:lvl w:ilvl="4">
      <w:start w:val="0"/>
      <w:numFmt w:val="bullet"/>
      <w:lvlText w:val="•"/>
      <w:lvlJc w:val="left"/>
      <w:pPr>
        <w:ind w:left="3360" w:hanging="480"/>
      </w:pPr>
      <w:rPr/>
    </w:lvl>
    <w:lvl w:ilvl="5">
      <w:start w:val="0"/>
      <w:numFmt w:val="bullet"/>
      <w:lvlText w:val="–"/>
      <w:lvlJc w:val="left"/>
      <w:pPr>
        <w:ind w:left="4080" w:hanging="480"/>
      </w:pPr>
      <w:rPr/>
    </w:lvl>
    <w:lvl w:ilvl="6">
      <w:start w:val="0"/>
      <w:numFmt w:val="bullet"/>
      <w:lvlText w:val="•"/>
      <w:lvlJc w:val="left"/>
      <w:pPr>
        <w:ind w:left="4800" w:hanging="480"/>
      </w:pPr>
      <w:rPr/>
    </w:lvl>
    <w:lvl w:ilvl="7">
      <w:start w:val="0"/>
      <w:numFmt w:val="bullet"/>
      <w:lvlText w:val="–"/>
      <w:lvlJc w:val="left"/>
      <w:pPr>
        <w:ind w:left="5520" w:hanging="480"/>
      </w:pPr>
      <w:rPr/>
    </w:lvl>
    <w:lvl w:ilvl="8">
      <w:start w:val="0"/>
      <w:numFmt w:val="bullet"/>
      <w:lvlText w:val="•"/>
      <w:lvlJc w:val="left"/>
      <w:pPr>
        <w:ind w:left="6240" w:hanging="480"/>
      </w:pPr>
      <w:rPr/>
    </w:lvl>
  </w:abstractNum>
  <w:abstractNum w:abstractNumId="4">
    <w:lvl w:ilvl="0">
      <w:start w:val="0"/>
      <w:numFmt w:val="bullet"/>
      <w:lvlText w:val="•"/>
      <w:lvlJc w:val="left"/>
      <w:pPr>
        <w:ind w:left="480" w:hanging="480"/>
      </w:pPr>
      <w:rPr/>
    </w:lvl>
    <w:lvl w:ilvl="1">
      <w:start w:val="0"/>
      <w:numFmt w:val="bullet"/>
      <w:lvlText w:val="–"/>
      <w:lvlJc w:val="left"/>
      <w:pPr>
        <w:ind w:left="1200" w:hanging="480"/>
      </w:pPr>
      <w:rPr/>
    </w:lvl>
    <w:lvl w:ilvl="2">
      <w:start w:val="0"/>
      <w:numFmt w:val="bullet"/>
      <w:lvlText w:val="•"/>
      <w:lvlJc w:val="left"/>
      <w:pPr>
        <w:ind w:left="1920" w:hanging="480"/>
      </w:pPr>
      <w:rPr/>
    </w:lvl>
    <w:lvl w:ilvl="3">
      <w:start w:val="0"/>
      <w:numFmt w:val="bullet"/>
      <w:lvlText w:val="–"/>
      <w:lvlJc w:val="left"/>
      <w:pPr>
        <w:ind w:left="2640" w:hanging="480"/>
      </w:pPr>
      <w:rPr/>
    </w:lvl>
    <w:lvl w:ilvl="4">
      <w:start w:val="0"/>
      <w:numFmt w:val="bullet"/>
      <w:lvlText w:val="•"/>
      <w:lvlJc w:val="left"/>
      <w:pPr>
        <w:ind w:left="3360" w:hanging="480"/>
      </w:pPr>
      <w:rPr/>
    </w:lvl>
    <w:lvl w:ilvl="5">
      <w:start w:val="0"/>
      <w:numFmt w:val="bullet"/>
      <w:lvlText w:val="–"/>
      <w:lvlJc w:val="left"/>
      <w:pPr>
        <w:ind w:left="4080" w:hanging="480"/>
      </w:pPr>
      <w:rPr/>
    </w:lvl>
    <w:lvl w:ilvl="6">
      <w:start w:val="0"/>
      <w:numFmt w:val="bullet"/>
      <w:lvlText w:val="•"/>
      <w:lvlJc w:val="left"/>
      <w:pPr>
        <w:ind w:left="4800" w:hanging="480"/>
      </w:pPr>
      <w:rPr/>
    </w:lvl>
    <w:lvl w:ilvl="7">
      <w:start w:val="0"/>
      <w:numFmt w:val="bullet"/>
      <w:lvlText w:val="–"/>
      <w:lvlJc w:val="left"/>
      <w:pPr>
        <w:ind w:left="5520" w:hanging="480"/>
      </w:pPr>
      <w:rPr/>
    </w:lvl>
    <w:lvl w:ilvl="8">
      <w:start w:val="0"/>
      <w:numFmt w:val="bullet"/>
      <w:lvlText w:val="•"/>
      <w:lvlJc w:val="left"/>
      <w:pPr>
        <w:ind w:left="6240" w:hanging="480"/>
      </w:pPr>
      <w:rPr/>
    </w:lvl>
  </w:abstractNum>
  <w:abstractNum w:abstractNumId="5">
    <w:lvl w:ilvl="0">
      <w:start w:val="0"/>
      <w:numFmt w:val="bullet"/>
      <w:lvlText w:val="•"/>
      <w:lvlJc w:val="left"/>
      <w:pPr>
        <w:ind w:left="480" w:hanging="480"/>
      </w:pPr>
      <w:rPr/>
    </w:lvl>
    <w:lvl w:ilvl="1">
      <w:start w:val="0"/>
      <w:numFmt w:val="bullet"/>
      <w:lvlText w:val="–"/>
      <w:lvlJc w:val="left"/>
      <w:pPr>
        <w:ind w:left="1200" w:hanging="480"/>
      </w:pPr>
      <w:rPr/>
    </w:lvl>
    <w:lvl w:ilvl="2">
      <w:start w:val="0"/>
      <w:numFmt w:val="bullet"/>
      <w:lvlText w:val="•"/>
      <w:lvlJc w:val="left"/>
      <w:pPr>
        <w:ind w:left="1920" w:hanging="480"/>
      </w:pPr>
      <w:rPr/>
    </w:lvl>
    <w:lvl w:ilvl="3">
      <w:start w:val="0"/>
      <w:numFmt w:val="bullet"/>
      <w:lvlText w:val="–"/>
      <w:lvlJc w:val="left"/>
      <w:pPr>
        <w:ind w:left="2640" w:hanging="480"/>
      </w:pPr>
      <w:rPr/>
    </w:lvl>
    <w:lvl w:ilvl="4">
      <w:start w:val="0"/>
      <w:numFmt w:val="bullet"/>
      <w:lvlText w:val="•"/>
      <w:lvlJc w:val="left"/>
      <w:pPr>
        <w:ind w:left="3360" w:hanging="480"/>
      </w:pPr>
      <w:rPr/>
    </w:lvl>
    <w:lvl w:ilvl="5">
      <w:start w:val="0"/>
      <w:numFmt w:val="bullet"/>
      <w:lvlText w:val="–"/>
      <w:lvlJc w:val="left"/>
      <w:pPr>
        <w:ind w:left="4080" w:hanging="480"/>
      </w:pPr>
      <w:rPr/>
    </w:lvl>
    <w:lvl w:ilvl="6">
      <w:start w:val="0"/>
      <w:numFmt w:val="bullet"/>
      <w:lvlText w:val="•"/>
      <w:lvlJc w:val="left"/>
      <w:pPr>
        <w:ind w:left="4800" w:hanging="480"/>
      </w:pPr>
      <w:rPr/>
    </w:lvl>
    <w:lvl w:ilvl="7">
      <w:start w:val="0"/>
      <w:numFmt w:val="bullet"/>
      <w:lvlText w:val="–"/>
      <w:lvlJc w:val="left"/>
      <w:pPr>
        <w:ind w:left="5520" w:hanging="480"/>
      </w:pPr>
      <w:rPr/>
    </w:lvl>
    <w:lvl w:ilvl="8">
      <w:start w:val="0"/>
      <w:numFmt w:val="bullet"/>
      <w:lvlText w:val="•"/>
      <w:lvlJc w:val="left"/>
      <w:pPr>
        <w:ind w:left="6240" w:hanging="480"/>
      </w:pPr>
      <w:rPr/>
    </w:lvl>
  </w:abstractNum>
  <w:abstractNum w:abstractNumId="6">
    <w:lvl w:ilvl="0">
      <w:start w:val="0"/>
      <w:numFmt w:val="bullet"/>
      <w:lvlText w:val="•"/>
      <w:lvlJc w:val="left"/>
      <w:pPr>
        <w:ind w:left="480" w:hanging="480"/>
      </w:pPr>
      <w:rPr/>
    </w:lvl>
    <w:lvl w:ilvl="1">
      <w:start w:val="0"/>
      <w:numFmt w:val="bullet"/>
      <w:lvlText w:val="–"/>
      <w:lvlJc w:val="left"/>
      <w:pPr>
        <w:ind w:left="1200" w:hanging="480"/>
      </w:pPr>
      <w:rPr/>
    </w:lvl>
    <w:lvl w:ilvl="2">
      <w:start w:val="0"/>
      <w:numFmt w:val="bullet"/>
      <w:lvlText w:val="•"/>
      <w:lvlJc w:val="left"/>
      <w:pPr>
        <w:ind w:left="1920" w:hanging="480"/>
      </w:pPr>
      <w:rPr/>
    </w:lvl>
    <w:lvl w:ilvl="3">
      <w:start w:val="0"/>
      <w:numFmt w:val="bullet"/>
      <w:lvlText w:val="–"/>
      <w:lvlJc w:val="left"/>
      <w:pPr>
        <w:ind w:left="2640" w:hanging="480"/>
      </w:pPr>
      <w:rPr/>
    </w:lvl>
    <w:lvl w:ilvl="4">
      <w:start w:val="0"/>
      <w:numFmt w:val="bullet"/>
      <w:lvlText w:val="•"/>
      <w:lvlJc w:val="left"/>
      <w:pPr>
        <w:ind w:left="3360" w:hanging="480"/>
      </w:pPr>
      <w:rPr/>
    </w:lvl>
    <w:lvl w:ilvl="5">
      <w:start w:val="0"/>
      <w:numFmt w:val="bullet"/>
      <w:lvlText w:val="–"/>
      <w:lvlJc w:val="left"/>
      <w:pPr>
        <w:ind w:left="4080" w:hanging="480"/>
      </w:pPr>
      <w:rPr/>
    </w:lvl>
    <w:lvl w:ilvl="6">
      <w:start w:val="0"/>
      <w:numFmt w:val="bullet"/>
      <w:lvlText w:val="•"/>
      <w:lvlJc w:val="left"/>
      <w:pPr>
        <w:ind w:left="4800" w:hanging="480"/>
      </w:pPr>
      <w:rPr/>
    </w:lvl>
    <w:lvl w:ilvl="7">
      <w:start w:val="0"/>
      <w:numFmt w:val="bullet"/>
      <w:lvlText w:val="–"/>
      <w:lvlJc w:val="left"/>
      <w:pPr>
        <w:ind w:left="5520" w:hanging="480"/>
      </w:pPr>
      <w:rPr/>
    </w:lvl>
    <w:lvl w:ilvl="8">
      <w:start w:val="0"/>
      <w:numFmt w:val="bullet"/>
      <w:lvlText w:val="•"/>
      <w:lvlJc w:val="left"/>
      <w:pPr>
        <w:ind w:left="624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ind w:left="480" w:hanging="480"/>
      </w:pPr>
      <w:rPr/>
    </w:lvl>
    <w:lvl w:ilvl="1">
      <w:start w:val="1"/>
      <w:numFmt w:val="decimal"/>
      <w:lvlText w:val="%2."/>
      <w:lvlJc w:val="left"/>
      <w:pPr>
        <w:ind w:left="1200" w:hanging="480"/>
      </w:pPr>
      <w:rPr/>
    </w:lvl>
    <w:lvl w:ilvl="2">
      <w:start w:val="1"/>
      <w:numFmt w:val="decimal"/>
      <w:lvlText w:val="%3."/>
      <w:lvlJc w:val="left"/>
      <w:pPr>
        <w:ind w:left="1920" w:hanging="480"/>
      </w:pPr>
      <w:rPr/>
    </w:lvl>
    <w:lvl w:ilvl="3">
      <w:start w:val="1"/>
      <w:numFmt w:val="decimal"/>
      <w:lvlText w:val="%4."/>
      <w:lvlJc w:val="left"/>
      <w:pPr>
        <w:ind w:left="2640" w:hanging="480"/>
      </w:pPr>
      <w:rPr/>
    </w:lvl>
    <w:lvl w:ilvl="4">
      <w:start w:val="1"/>
      <w:numFmt w:val="decimal"/>
      <w:lvlText w:val="%5."/>
      <w:lvlJc w:val="left"/>
      <w:pPr>
        <w:ind w:left="3360" w:hanging="480"/>
      </w:pPr>
      <w:rPr/>
    </w:lvl>
    <w:lvl w:ilvl="5">
      <w:start w:val="1"/>
      <w:numFmt w:val="decimal"/>
      <w:lvlText w:val="%6."/>
      <w:lvlJc w:val="left"/>
      <w:pPr>
        <w:ind w:left="4080" w:hanging="480"/>
      </w:pPr>
      <w:rPr/>
    </w:lvl>
    <w:lvl w:ilvl="6">
      <w:start w:val="1"/>
      <w:numFmt w:val="decimal"/>
      <w:lvlText w:val="%7."/>
      <w:lvlJc w:val="left"/>
      <w:pPr>
        <w:ind w:left="4800" w:hanging="480"/>
      </w:pPr>
      <w:rPr/>
    </w:lvl>
    <w:lvl w:ilvl="7">
      <w:start w:val="1"/>
      <w:numFmt w:val="decimal"/>
      <w:lvlText w:val="%8."/>
      <w:lvlJc w:val="left"/>
      <w:pPr>
        <w:ind w:left="5520" w:hanging="480"/>
      </w:pPr>
      <w:rPr/>
    </w:lvl>
    <w:lvl w:ilvl="8">
      <w:start w:val="1"/>
      <w:numFmt w:val="decimal"/>
      <w:lvlText w:val="%9."/>
      <w:lvlJc w:val="left"/>
      <w:pPr>
        <w:ind w:left="624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paragraph" w:styleId="Author" w:customStyle="1">
    <w:name w:val="Author"/>
    <w:next w:val="BodyText"/>
    <w:qFormat w:val="1"/>
    <w:pPr>
      <w:keepNext w:val="1"/>
      <w:keepLines w:val="1"/>
      <w:jc w:val="center"/>
    </w:pPr>
  </w:style>
  <w:style w:type="paragraph" w:styleId="Date">
    <w:name w:val="Date"/>
    <w:next w:val="BodyText"/>
    <w:qFormat w:val="1"/>
    <w:pPr>
      <w:keepNext w:val="1"/>
      <w:keepLines w:val="1"/>
      <w:jc w:val="center"/>
    </w:p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 w:val="1"/>
    <w:qFormat w:val="1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/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/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+d6lkfpoDyTQH9oJAJS38eRL7w==">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2026-05-17T07:19:06Z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