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Documento 10</w:t>
        <w:br/>
        <w:t>Stack Tecnológico y Arquitectura Base</w:t>
      </w:r>
    </w:p>
    <w:p>
      <w:pPr>
        <w:jc w:val="center"/>
      </w:pPr>
      <w:r>
        <w:rPr>
          <w:i/>
        </w:rPr>
        <w:t>Sistema de Bodega e Inventario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Campo</w:t>
            </w:r>
          </w:p>
        </w:tc>
        <w:tc>
          <w:tcPr>
            <w:tcW w:type="dxa" w:w="4320"/>
            <w:shd w:fill="D9EAF7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Documento</w:t>
            </w:r>
          </w:p>
        </w:tc>
        <w:tc>
          <w:tcPr>
            <w:tcW w:type="dxa" w:w="4320"/>
          </w:tcPr>
          <w:p>
            <w:r>
              <w:t>Documento 10 - Stack Tecnológico y Arquitectura Base</w:t>
            </w:r>
          </w:p>
        </w:tc>
      </w:tr>
      <w:tr>
        <w:tc>
          <w:tcPr>
            <w:tcW w:type="dxa" w:w="4320"/>
          </w:tcPr>
          <w:p>
            <w:r>
              <w:t>Versión</w:t>
            </w:r>
          </w:p>
        </w:tc>
        <w:tc>
          <w:tcPr>
            <w:tcW w:type="dxa" w:w="4320"/>
          </w:tcPr>
          <w:p>
            <w:r>
              <w:t>1.1 Corregida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Borrador técnico inicial</w:t>
            </w:r>
          </w:p>
        </w:tc>
      </w:tr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2026-06-26</w:t>
            </w:r>
          </w:p>
        </w:tc>
      </w:tr>
    </w:tbl>
    <w:p/>
    <w:p>
      <w:pPr>
        <w:pStyle w:val="Heading1"/>
      </w:pPr>
      <w:r>
        <w:t>Objetivo</w:t>
      </w:r>
    </w:p>
    <w:p>
      <w:r>
        <w:t>Dejar explícito el stack oficial del proyecto y las decisiones base de arquitectura para desarrollo, pruebas y despliegue.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Capa</w:t>
            </w:r>
          </w:p>
        </w:tc>
        <w:tc>
          <w:tcPr>
            <w:tcW w:type="dxa" w:w="4320"/>
            <w:shd w:fill="D9EAF7"/>
          </w:tcPr>
          <w:p>
            <w:r>
              <w:t>Tecnología / decisión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React.</w:t>
            </w:r>
          </w:p>
        </w:tc>
      </w:tr>
      <w:tr>
        <w:tc>
          <w:tcPr>
            <w:tcW w:type="dxa" w:w="4320"/>
          </w:tcPr>
          <w:p>
            <w:r>
              <w:t>Estilos</w:t>
            </w:r>
          </w:p>
        </w:tc>
        <w:tc>
          <w:tcPr>
            <w:tcW w:type="dxa" w:w="4320"/>
          </w:tcPr>
          <w:p>
            <w:r>
              <w:t>Tailwind CSS.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Django.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Django REST Framework.</w:t>
            </w:r>
          </w:p>
        </w:tc>
      </w:tr>
      <w:tr>
        <w:tc>
          <w:tcPr>
            <w:tcW w:type="dxa" w:w="4320"/>
          </w:tcPr>
          <w:p>
            <w:r>
              <w:t>Autenticación</w:t>
            </w:r>
          </w:p>
        </w:tc>
        <w:tc>
          <w:tcPr>
            <w:tcW w:type="dxa" w:w="4320"/>
          </w:tcPr>
          <w:p>
            <w:r>
              <w:t>JWT para la API y custom user model con login por email.</w:t>
            </w:r>
          </w:p>
        </w:tc>
      </w:tr>
      <w:tr>
        <w:tc>
          <w:tcPr>
            <w:tcW w:type="dxa" w:w="4320"/>
          </w:tcPr>
          <w:p>
            <w:r>
              <w:t>Permisos</w:t>
            </w:r>
          </w:p>
        </w:tc>
        <w:tc>
          <w:tcPr>
            <w:tcW w:type="dxa" w:w="4320"/>
          </w:tcPr>
          <w:p>
            <w:r>
              <w:t>RBAC con usuarios, roles y permisos.</w:t>
            </w:r>
          </w:p>
        </w:tc>
      </w:tr>
      <w:tr>
        <w:tc>
          <w:tcPr>
            <w:tcW w:type="dxa" w:w="4320"/>
          </w:tcPr>
          <w:p>
            <w:r>
              <w:t>Base de datos</w:t>
            </w:r>
          </w:p>
        </w:tc>
        <w:tc>
          <w:tcPr>
            <w:tcW w:type="dxa" w:w="4320"/>
          </w:tcPr>
          <w:p>
            <w:r>
              <w:t>PostgreSQL.</w:t>
            </w:r>
          </w:p>
        </w:tc>
      </w:tr>
      <w:tr>
        <w:tc>
          <w:tcPr>
            <w:tcW w:type="dxa" w:w="4320"/>
          </w:tcPr>
          <w:p>
            <w:r>
              <w:t>Configuración</w:t>
            </w:r>
          </w:p>
        </w:tc>
        <w:tc>
          <w:tcPr>
            <w:tcW w:type="dxa" w:w="4320"/>
          </w:tcPr>
          <w:p>
            <w:r>
              <w:t>Variables de entorno por ambiente.</w:t>
            </w:r>
          </w:p>
        </w:tc>
      </w:tr>
      <w:tr>
        <w:tc>
          <w:tcPr>
            <w:tcW w:type="dxa" w:w="4320"/>
          </w:tcPr>
          <w:p>
            <w:r>
              <w:t>Storage</w:t>
            </w:r>
          </w:p>
        </w:tc>
        <w:tc>
          <w:tcPr>
            <w:tcW w:type="dxa" w:w="4320"/>
          </w:tcPr>
          <w:p>
            <w:r>
              <w:t>Archivos adjuntos fuera del código fuente.</w:t>
            </w:r>
          </w:p>
        </w:tc>
      </w:tr>
    </w:tbl>
    <w:p/>
    <w:p>
      <w:pPr>
        <w:pStyle w:val="Heading1"/>
      </w:pPr>
      <w:r>
        <w:t>Arquitectura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Componente</w:t>
            </w:r>
          </w:p>
        </w:tc>
        <w:tc>
          <w:tcPr>
            <w:tcW w:type="dxa" w:w="4320"/>
            <w:shd w:fill="D9EAF7"/>
          </w:tcPr>
          <w:p>
            <w:r>
              <w:t>Responsabilidad</w:t>
            </w:r>
          </w:p>
        </w:tc>
      </w:tr>
      <w:tr>
        <w:tc>
          <w:tcPr>
            <w:tcW w:type="dxa" w:w="4320"/>
          </w:tcPr>
          <w:p>
            <w:r>
              <w:t>React</w:t>
            </w:r>
          </w:p>
        </w:tc>
        <w:tc>
          <w:tcPr>
            <w:tcW w:type="dxa" w:w="4320"/>
          </w:tcPr>
          <w:p>
            <w:r>
              <w:t>Interfaz de usuario y consumo de API.</w:t>
            </w:r>
          </w:p>
        </w:tc>
      </w:tr>
      <w:tr>
        <w:tc>
          <w:tcPr>
            <w:tcW w:type="dxa" w:w="4320"/>
          </w:tcPr>
          <w:p>
            <w:r>
              <w:t>Tailwind CSS</w:t>
            </w:r>
          </w:p>
        </w:tc>
        <w:tc>
          <w:tcPr>
            <w:tcW w:type="dxa" w:w="4320"/>
          </w:tcPr>
          <w:p>
            <w:r>
              <w:t>Estilos utilitarios y consistentes.</w:t>
            </w:r>
          </w:p>
        </w:tc>
      </w:tr>
      <w:tr>
        <w:tc>
          <w:tcPr>
            <w:tcW w:type="dxa" w:w="4320"/>
          </w:tcPr>
          <w:p>
            <w:r>
              <w:t>models.py</w:t>
            </w:r>
          </w:p>
        </w:tc>
        <w:tc>
          <w:tcPr>
            <w:tcW w:type="dxa" w:w="4320"/>
          </w:tcPr>
          <w:p>
            <w:r>
              <w:t>Reglas de integridad y estructura de datos.</w:t>
            </w:r>
          </w:p>
        </w:tc>
      </w:tr>
      <w:tr>
        <w:tc>
          <w:tcPr>
            <w:tcW w:type="dxa" w:w="4320"/>
          </w:tcPr>
          <w:p>
            <w:r>
              <w:t>serializers.py</w:t>
            </w:r>
          </w:p>
        </w:tc>
        <w:tc>
          <w:tcPr>
            <w:tcW w:type="dxa" w:w="4320"/>
          </w:tcPr>
          <w:p>
            <w:r>
              <w:t>Validación de entrada/salida.</w:t>
            </w:r>
          </w:p>
        </w:tc>
      </w:tr>
      <w:tr>
        <w:tc>
          <w:tcPr>
            <w:tcW w:type="dxa" w:w="4320"/>
          </w:tcPr>
          <w:p>
            <w:r>
              <w:t>services.py</w:t>
            </w:r>
          </w:p>
        </w:tc>
        <w:tc>
          <w:tcPr>
            <w:tcW w:type="dxa" w:w="4320"/>
          </w:tcPr>
          <w:p>
            <w:r>
              <w:t>Lógica de negocio y transacciones.</w:t>
            </w:r>
          </w:p>
        </w:tc>
      </w:tr>
      <w:tr>
        <w:tc>
          <w:tcPr>
            <w:tcW w:type="dxa" w:w="4320"/>
          </w:tcPr>
          <w:p>
            <w:r>
              <w:t>views/viewsets</w:t>
            </w:r>
          </w:p>
        </w:tc>
        <w:tc>
          <w:tcPr>
            <w:tcW w:type="dxa" w:w="4320"/>
          </w:tcPr>
          <w:p>
            <w:r>
              <w:t>Exposición de API delgada.</w:t>
            </w:r>
          </w:p>
        </w:tc>
      </w:tr>
      <w:tr>
        <w:tc>
          <w:tcPr>
            <w:tcW w:type="dxa" w:w="4320"/>
          </w:tcPr>
          <w:p>
            <w:r>
              <w:t>routers</w:t>
            </w:r>
          </w:p>
        </w:tc>
        <w:tc>
          <w:tcPr>
            <w:tcW w:type="dxa" w:w="4320"/>
          </w:tcPr>
          <w:p>
            <w:r>
              <w:t>Rutas organizadas por app y versión.</w:t>
            </w:r>
          </w:p>
        </w:tc>
      </w:tr>
      <w:tr>
        <w:tc>
          <w:tcPr>
            <w:tcW w:type="dxa" w:w="4320"/>
          </w:tcPr>
          <w:p>
            <w:r>
              <w:t>tests</w:t>
            </w:r>
          </w:p>
        </w:tc>
        <w:tc>
          <w:tcPr>
            <w:tcW w:type="dxa" w:w="4320"/>
          </w:tcPr>
          <w:p>
            <w:r>
              <w:t>Garantía de reglas críticas.</w:t>
            </w:r>
          </w:p>
        </w:tc>
      </w:tr>
    </w:tbl>
    <w:p/>
    <w:p>
      <w:pPr>
        <w:pStyle w:val="Heading1"/>
      </w:pPr>
      <w:r>
        <w:t>Apps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App</w:t>
            </w:r>
          </w:p>
        </w:tc>
        <w:tc>
          <w:tcPr>
            <w:tcW w:type="dxa" w:w="4320"/>
            <w:shd w:fill="D9EAF7"/>
          </w:tcPr>
          <w:p>
            <w:r>
              <w:t>Propósito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Empresas, sucursales, bodegas, centros de costo y parámetros.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Usuarios, roles, permisos y acceso.</w:t>
            </w:r>
          </w:p>
        </w:tc>
      </w:tr>
      <w:tr>
        <w:tc>
          <w:tcPr>
            <w:tcW w:type="dxa" w:w="4320"/>
          </w:tcPr>
          <w:p>
            <w:r>
              <w:t>catalogs</w:t>
            </w:r>
          </w:p>
        </w:tc>
        <w:tc>
          <w:tcPr>
            <w:tcW w:type="dxa" w:w="4320"/>
          </w:tcPr>
          <w:p>
            <w:r>
              <w:t>Catálogos maestros y estados configurables.</w:t>
            </w:r>
          </w:p>
        </w:tc>
      </w:tr>
      <w:tr>
        <w:tc>
          <w:tcPr>
            <w:tcW w:type="dxa" w:w="4320"/>
          </w:tcPr>
          <w:p>
            <w:r>
              <w:t>inventory</w:t>
            </w:r>
          </w:p>
        </w:tc>
        <w:tc>
          <w:tcPr>
            <w:tcW w:type="dxa" w:w="4320"/>
          </w:tcPr>
          <w:p>
            <w:r>
              <w:t>Productos, series, lotes, stock y movimientos.</w:t>
            </w:r>
          </w:p>
        </w:tc>
      </w:tr>
      <w:tr>
        <w:tc>
          <w:tcPr>
            <w:tcW w:type="dxa" w:w="4320"/>
          </w:tcPr>
          <w:p>
            <w:r>
              <w:t>operations</w:t>
            </w:r>
          </w:p>
        </w:tc>
        <w:tc>
          <w:tcPr>
            <w:tcW w:type="dxa" w:w="4320"/>
          </w:tcPr>
          <w:p>
            <w:r>
              <w:t>Solicitudes, entregas, traslados e historial.</w:t>
            </w:r>
          </w:p>
        </w:tc>
      </w:tr>
      <w:tr>
        <w:tc>
          <w:tcPr>
            <w:tcW w:type="dxa" w:w="4320"/>
          </w:tcPr>
          <w:p>
            <w:r>
              <w:t>support</w:t>
            </w:r>
          </w:p>
        </w:tc>
        <w:tc>
          <w:tcPr>
            <w:tcW w:type="dxa" w:w="4320"/>
          </w:tcPr>
          <w:p>
            <w:r>
              <w:t>Numeradores, adjuntos y utilidades.</w:t>
            </w:r>
          </w:p>
        </w:tc>
      </w:tr>
    </w:tbl>
    <w:p/>
    <w:p>
      <w:pPr>
        <w:pStyle w:val="Heading1"/>
      </w:pPr>
      <w:r>
        <w:t>Entorno y despliegue</w:t>
      </w:r>
    </w:p>
    <w:p>
      <w:r>
        <w:t>settings separados por desarrollo, staging y producción.</w:t>
      </w:r>
    </w:p>
    <w:p>
      <w:r>
        <w:t>Uso de .env para secretos y configuración.</w:t>
      </w:r>
    </w:p>
    <w:p>
      <w:r>
        <w:t>Migraciones controladas antes de cada despliegue.</w:t>
      </w:r>
    </w:p>
    <w:p>
      <w:r>
        <w:t>Logs y auditoría habilitados desde el inicio.</w:t>
      </w:r>
    </w:p>
    <w:p>
      <w:pPr>
        <w:pStyle w:val="Heading1"/>
      </w:pPr>
      <w:r>
        <w:t>Decisiones de ingeniería</w:t>
      </w:r>
    </w:p>
    <w:p>
      <w:r>
        <w:t>No hardcodear valores de negocio.</w:t>
      </w:r>
    </w:p>
    <w:p>
      <w:r>
        <w:t>No borrar físicamente registros críticos.</w:t>
      </w:r>
    </w:p>
    <w:p>
      <w:r>
        <w:t>Centralizar reglas sensibles en services.</w:t>
      </w:r>
    </w:p>
    <w:p>
      <w:r>
        <w:t>Mantener el inventario como fuente de verdad en movimientos_inventario.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