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4164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2874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CARBALLIN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