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(Affected_Pers)</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52274683"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094F7D04" w:rsidR="00A6312E" w:rsidRDefault="00A6312E" w:rsidP="00A6312E">
      <w:pPr>
        <w:pStyle w:val="ListParagraph"/>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w:t>
      </w:r>
      <w:r w:rsidR="00D42246">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D422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2000-2022 that brought the greatest number of casualties to the </w:t>
      </w:r>
      <w:r w:rsidR="00C20952">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America</w:t>
      </w:r>
      <w:r w:rsidR="00C20952">
        <w:rPr>
          <w:rFonts w:ascii="Times New Roman" w:eastAsia="Times New Roman" w:hAnsi="Times New Roman" w:cs="Times New Roman"/>
          <w:sz w:val="24"/>
          <w:szCs w:val="24"/>
        </w:rPr>
        <w:t xml:space="preserve"> as a whole</w:t>
      </w:r>
      <w:r w:rsidR="00D42246">
        <w:rPr>
          <w:rFonts w:ascii="Times New Roman" w:eastAsia="Times New Roman" w:hAnsi="Times New Roman" w:cs="Times New Roman"/>
          <w:sz w:val="24"/>
          <w:szCs w:val="24"/>
        </w:rPr>
        <w:t xml:space="preserve"> based from the Total Affected and </w:t>
      </w:r>
      <w:r w:rsidR="00D42246" w:rsidRPr="00D42246">
        <w:rPr>
          <w:rFonts w:ascii="Times New Roman" w:eastAsia="Times New Roman" w:hAnsi="Times New Roman" w:cs="Times New Roman"/>
          <w:sz w:val="24"/>
          <w:szCs w:val="24"/>
        </w:rPr>
        <w:t>Total Damages, Adjusted ('000 US$)</w:t>
      </w:r>
      <w:r w:rsidR="00D42246">
        <w:rPr>
          <w:rFonts w:ascii="Times New Roman" w:eastAsia="Times New Roman" w:hAnsi="Times New Roman" w:cs="Times New Roman"/>
          <w:sz w:val="24"/>
          <w:szCs w:val="24"/>
        </w:rPr>
        <w:t xml:space="preserve"> x variables</w:t>
      </w:r>
      <w:r>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61492578"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A6312E">
            <w:t>3</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A510392"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6312E">
        <w:rPr>
          <w:rFonts w:ascii="Times New Roman" w:eastAsia="Times New Roman" w:hAnsi="Times New Roman" w:cs="Times New Roman"/>
          <w:sz w:val="24"/>
          <w:szCs w:val="24"/>
        </w:rPr>
        <w:t>4</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3CE56ADC"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A6312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5A2ED466"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6312E">
        <w:rPr>
          <w:rFonts w:ascii="Times New Roman" w:eastAsia="Times New Roman" w:hAnsi="Times New Roman" w:cs="Times New Roman"/>
          <w:sz w:val="24"/>
          <w:szCs w:val="24"/>
        </w:rPr>
        <w:t>6</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9E576B"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w:t>
            </w:r>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Affected_FAM</w:t>
            </w:r>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Affected_PERs</w:t>
            </w:r>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Inside_EC_Fam_Cum</w:t>
            </w:r>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Inside_EC_Fam_Now</w:t>
            </w:r>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Inside_EC_Per_Cum</w:t>
            </w:r>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Inside_EC_Per_Now</w:t>
            </w:r>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Outside_EC_Fam_Cum</w:t>
            </w:r>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Outside_EC_Fam_Now</w:t>
            </w:r>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Outside_EC_Pers_Cum</w:t>
            </w:r>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Outside_EC_Per_Now</w:t>
            </w:r>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IDP_Cum</w:t>
            </w:r>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Subsubtype</w:t>
            </w:r>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 where the disaster occured.</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origin of the disaster that occured.</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disaster that has occured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Other disaster that has occured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of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9E576B">
      <w:pPr>
        <w:spacing w:line="480" w:lineRule="auto"/>
        <w:rPr>
          <w:rFonts w:ascii="Times New Roman" w:eastAsia="Times New Roman" w:hAnsi="Times New Roman" w:cs="Times New Roman"/>
          <w:sz w:val="24"/>
          <w:szCs w:val="24"/>
        </w:rPr>
      </w:pPr>
      <w:hyperlink r:id="rId16">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Addawe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Calzon,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Commision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7"/>
      <w:head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Countries – death, Injured, Total Affected Indiv</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F36C" w14:textId="77777777" w:rsidR="009E576B" w:rsidRDefault="009E576B">
      <w:pPr>
        <w:spacing w:after="0" w:line="240" w:lineRule="auto"/>
      </w:pPr>
      <w:r>
        <w:separator/>
      </w:r>
    </w:p>
  </w:endnote>
  <w:endnote w:type="continuationSeparator" w:id="0">
    <w:p w14:paraId="51B431D6" w14:textId="77777777" w:rsidR="009E576B" w:rsidRDefault="009E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2CD0" w14:textId="77777777" w:rsidR="009E576B" w:rsidRDefault="009E576B">
      <w:pPr>
        <w:spacing w:after="0" w:line="240" w:lineRule="auto"/>
      </w:pPr>
      <w:r>
        <w:separator/>
      </w:r>
    </w:p>
  </w:footnote>
  <w:footnote w:type="continuationSeparator" w:id="0">
    <w:p w14:paraId="7EFC4E4F" w14:textId="77777777" w:rsidR="009E576B" w:rsidRDefault="009E5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95B98"/>
    <w:multiLevelType w:val="hybridMultilevel"/>
    <w:tmpl w:val="784C7E12"/>
    <w:lvl w:ilvl="0" w:tplc="09DE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oFAP6h2zotAAAA"/>
  </w:docVars>
  <w:rsids>
    <w:rsidRoot w:val="00566092"/>
    <w:rsid w:val="00053DEB"/>
    <w:rsid w:val="000C57A8"/>
    <w:rsid w:val="000E6716"/>
    <w:rsid w:val="001203B5"/>
    <w:rsid w:val="00142CA4"/>
    <w:rsid w:val="00155C6F"/>
    <w:rsid w:val="00162829"/>
    <w:rsid w:val="001743D7"/>
    <w:rsid w:val="0019153F"/>
    <w:rsid w:val="001E1D23"/>
    <w:rsid w:val="001E5974"/>
    <w:rsid w:val="002C082E"/>
    <w:rsid w:val="002C28B8"/>
    <w:rsid w:val="002D546E"/>
    <w:rsid w:val="002D66D8"/>
    <w:rsid w:val="002E04DE"/>
    <w:rsid w:val="002F3B83"/>
    <w:rsid w:val="002F57B6"/>
    <w:rsid w:val="00310DDE"/>
    <w:rsid w:val="003204CC"/>
    <w:rsid w:val="00332224"/>
    <w:rsid w:val="00394E68"/>
    <w:rsid w:val="0039721F"/>
    <w:rsid w:val="003E3C72"/>
    <w:rsid w:val="00474FDE"/>
    <w:rsid w:val="004D3B53"/>
    <w:rsid w:val="00540122"/>
    <w:rsid w:val="00566092"/>
    <w:rsid w:val="005A5F2A"/>
    <w:rsid w:val="005C68D4"/>
    <w:rsid w:val="0063385F"/>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B564B1"/>
    <w:rsid w:val="00B82ACA"/>
    <w:rsid w:val="00B8317D"/>
    <w:rsid w:val="00BB22A4"/>
    <w:rsid w:val="00BF5C48"/>
    <w:rsid w:val="00C20952"/>
    <w:rsid w:val="00C7123F"/>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humdata.org/user/jaddaw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23</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95</cp:revision>
  <dcterms:created xsi:type="dcterms:W3CDTF">2016-08-05T12:46:00Z</dcterms:created>
  <dcterms:modified xsi:type="dcterms:W3CDTF">2022-05-23T02:47:00Z</dcterms:modified>
</cp:coreProperties>
</file>