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751FDB6D"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1D372D35"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14E2AD48"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66B1A392"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62303449"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26FB262D"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67F833F"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3AE25A12"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92E0AED"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010A00B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057B51DB"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5E1E526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4E3F1450"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32D44569"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7315935A"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6D774AB2"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3CA14FD7"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32B75D63"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37323D57"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642ED64C"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05E0F45B"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C66ABEC"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09B38E03"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094EA2E3"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088D3717"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6BA6D2D4"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00A761A"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48C5A976"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7020DCC5"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1CD4014"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7CF5D193"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162C60BF"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2A680387"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FB43C1A"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5FF400EA"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10B10145"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2B4DE48"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1C4E5943"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64F04CD4"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0A3D37BF"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BC2B87C"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20916287"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6380CD63"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5C3C9C44"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56C96340"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4649644E"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394180CA"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8840A3"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2B9637A6" w:rsidR="008C371B" w:rsidRDefault="008C371B" w:rsidP="008C371B">
      <w:pPr>
        <w:spacing w:line="240" w:lineRule="auto"/>
        <w:rPr>
          <w:rFonts w:ascii="Times New Roman" w:eastAsia="Times New Roman" w:hAnsi="Times New Roman" w:cs="Times New Roman"/>
          <w:b/>
          <w:sz w:val="24"/>
          <w:szCs w:val="24"/>
        </w:rPr>
      </w:pPr>
    </w:p>
    <w:p w14:paraId="5A845912"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Lesson 8: Blackholing – Limiting Inflation</w:t>
      </w:r>
    </w:p>
    <w:p w14:paraId="6C75DFED"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i/>
          <w:iCs/>
          <w:color w:val="000000"/>
        </w:rPr>
        <w:t>Length: 10 minutes</w:t>
      </w:r>
    </w:p>
    <w:p w14:paraId="011C79D1"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Before investing in a project, you will want to really familiarise yourself with the project and what it aims to achieve (whitepaper). Second to that, you will want to see whether the account that issued the token is blackholed.</w:t>
      </w:r>
    </w:p>
    <w:p w14:paraId="3C79FE00"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What does it mean to be blackholed?</w:t>
      </w:r>
    </w:p>
    <w:p w14:paraId="2F120CE2" w14:textId="68C5AE4E"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If a project chooses to blackhole the issuing address after issuing their circulation of tokens, it means they will never be able to issue any more tokens. As someone investing in that token, being protected against possible inflation from new tokens being issued</w:t>
      </w:r>
      <w:r>
        <w:rPr>
          <w:rFonts w:ascii="Calibri" w:eastAsia="Times New Roman" w:hAnsi="Calibri" w:cs="Calibri"/>
          <w:color w:val="000000"/>
        </w:rPr>
        <w:t>,</w:t>
      </w:r>
      <w:r w:rsidRPr="00BA0DD2">
        <w:rPr>
          <w:rFonts w:ascii="Calibri" w:eastAsia="Times New Roman" w:hAnsi="Calibri" w:cs="Calibri"/>
          <w:color w:val="000000"/>
        </w:rPr>
        <w:t xml:space="preserve"> which will bring down the value of your holding</w:t>
      </w:r>
      <w:r>
        <w:rPr>
          <w:rFonts w:ascii="Calibri" w:eastAsia="Times New Roman" w:hAnsi="Calibri" w:cs="Calibri"/>
          <w:color w:val="000000"/>
        </w:rPr>
        <w:t>,</w:t>
      </w:r>
      <w:r w:rsidRPr="00BA0DD2">
        <w:rPr>
          <w:rFonts w:ascii="Calibri" w:eastAsia="Times New Roman" w:hAnsi="Calibri" w:cs="Calibri"/>
          <w:color w:val="000000"/>
        </w:rPr>
        <w:t xml:space="preserve"> should be a </w:t>
      </w:r>
      <w:r>
        <w:rPr>
          <w:rFonts w:ascii="Calibri" w:eastAsia="Times New Roman" w:hAnsi="Calibri" w:cs="Calibri"/>
          <w:color w:val="000000"/>
        </w:rPr>
        <w:t>good thing. In the example of</w:t>
      </w:r>
      <w:r w:rsidRPr="00BA0DD2">
        <w:rPr>
          <w:rFonts w:ascii="Calibri" w:eastAsia="Times New Roman" w:hAnsi="Calibri" w:cs="Calibri"/>
          <w:color w:val="000000"/>
        </w:rPr>
        <w:t xml:space="preserve"> NFT projects using a token as an I.O.U against an NFT, you know that a blackholed account will ensure a degree of rarity (and in turn value)</w:t>
      </w:r>
      <w:r>
        <w:rPr>
          <w:rFonts w:ascii="Calibri" w:eastAsia="Times New Roman" w:hAnsi="Calibri" w:cs="Calibri"/>
          <w:color w:val="000000"/>
        </w:rPr>
        <w:t xml:space="preserve"> </w:t>
      </w:r>
      <w:r w:rsidRPr="00BA0DD2">
        <w:rPr>
          <w:rFonts w:ascii="Calibri" w:eastAsia="Times New Roman" w:hAnsi="Calibri" w:cs="Calibri"/>
          <w:color w:val="000000"/>
        </w:rPr>
        <w:t>to the NFT’s. In some cases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the use case will mean that blackholing will limit that project’s utility. If they are using the token as a means of rewards for example, when they have issued all the tokens then that utility will cease.</w:t>
      </w:r>
    </w:p>
    <w:p w14:paraId="22EDC808" w14:textId="77777777" w:rsidR="00BA0DD2" w:rsidRDefault="00BA0DD2" w:rsidP="00BA0DD2">
      <w:pPr>
        <w:spacing w:line="240" w:lineRule="auto"/>
        <w:jc w:val="center"/>
        <w:rPr>
          <w:rFonts w:ascii="Calibri" w:eastAsia="Times New Roman" w:hAnsi="Calibri" w:cs="Calibri"/>
          <w:b/>
          <w:bCs/>
          <w:color w:val="000000"/>
        </w:rPr>
      </w:pPr>
      <w:r w:rsidRPr="00BA0DD2">
        <w:rPr>
          <w:rFonts w:ascii="Calibri" w:eastAsia="Times New Roman" w:hAnsi="Calibri" w:cs="Calibri"/>
          <w:noProof/>
          <w:color w:val="000000"/>
          <w:bdr w:val="none" w:sz="0" w:space="0" w:color="auto" w:frame="1"/>
        </w:rPr>
        <w:drawing>
          <wp:inline distT="0" distB="0" distL="0" distR="0" wp14:anchorId="4EC0EE57" wp14:editId="369C7106">
            <wp:extent cx="6294120" cy="2885440"/>
            <wp:effectExtent l="0" t="0" r="0" b="0"/>
            <wp:docPr id="93" name="Picture 93" descr="https://lh4.googleusercontent.com/pLXDnxmvrUshoUtcAe7w5oFDfK6ZBqUL6o61V5A-8LVi_mnw6CO0t3Z6vYHkdzxhn-KV52_LWcP_hJD5YfS3MOev2Jl6E4FpH5O-cNmWhbV2KU7UINTavCyul-NOA-ty60UUV6LISUgRLcDrGkU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pLXDnxmvrUshoUtcAe7w5oFDfK6ZBqUL6o61V5A-8LVi_mnw6CO0t3Z6vYHkdzxhn-KV52_LWcP_hJD5YfS3MOev2Jl6E4FpH5O-cNmWhbV2KU7UINTavCyul-NOA-ty60UUV6LISUgRLcDrGkUUe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94120" cy="2885440"/>
                    </a:xfrm>
                    <a:prstGeom prst="rect">
                      <a:avLst/>
                    </a:prstGeom>
                    <a:noFill/>
                    <a:ln>
                      <a:noFill/>
                    </a:ln>
                  </pic:spPr>
                </pic:pic>
              </a:graphicData>
            </a:graphic>
          </wp:inline>
        </w:drawing>
      </w:r>
      <w:r w:rsidRPr="00BA0DD2">
        <w:rPr>
          <w:rFonts w:ascii="Calibri" w:eastAsia="Times New Roman" w:hAnsi="Calibri" w:cs="Calibri"/>
          <w:color w:val="000000"/>
        </w:rPr>
        <w:br/>
      </w:r>
    </w:p>
    <w:p w14:paraId="628518F6" w14:textId="0C2FDAE9" w:rsidR="00BA0DD2" w:rsidRPr="00BA0DD2" w:rsidRDefault="00BA0DD2" w:rsidP="00BA0DD2">
      <w:pPr>
        <w:spacing w:line="240" w:lineRule="auto"/>
        <w:rPr>
          <w:rFonts w:ascii="Times New Roman" w:eastAsia="Times New Roman" w:hAnsi="Times New Roman" w:cs="Times New Roman"/>
          <w:sz w:val="24"/>
          <w:szCs w:val="24"/>
        </w:rPr>
      </w:pPr>
      <w:r w:rsidRPr="00BA0DD2">
        <w:rPr>
          <w:rFonts w:ascii="Calibri" w:eastAsia="Times New Roman" w:hAnsi="Calibri" w:cs="Calibri"/>
          <w:b/>
          <w:bCs/>
          <w:color w:val="000000"/>
        </w:rPr>
        <w:lastRenderedPageBreak/>
        <w:t>Let’s take Treasury as an example:</w:t>
      </w:r>
    </w:p>
    <w:p w14:paraId="271B6D8F" w14:textId="02BCD529"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The native token $TRSRY issuing address was blackholed after 100 million tokens were issued. As the project grows, the logic is the value in these tokens will also appreciate, as their supply is limited and are in greater demand. In contrast, the secondary token we issued, $UtiliteX is not blackholed. This is because of the underlying utility this token looks to deliver. We are delivering a 5% return on investors’ holding in $TRSRY which will be paid in $UtiliteX. If the issuing address for $UtiliteX was blackholed we would not be able to offer this indefinitely. And then</w:t>
      </w:r>
      <w:r>
        <w:rPr>
          <w:rFonts w:ascii="Calibri" w:eastAsia="Times New Roman" w:hAnsi="Calibri" w:cs="Calibri"/>
          <w:color w:val="000000"/>
        </w:rPr>
        <w:t>,</w:t>
      </w:r>
      <w:r w:rsidRPr="00BA0DD2">
        <w:rPr>
          <w:rFonts w:ascii="Calibri" w:eastAsia="Times New Roman" w:hAnsi="Calibri" w:cs="Calibri"/>
          <w:color w:val="000000"/>
        </w:rPr>
        <w:t xml:space="preserve"> focusing on the insurance we offer (see lesson on Insur), we need to be able to issue additional tokens in the event of having to honour a legitimate insurance claim, which is why the issuing address for $UtiliteX cannot be blackholed.</w:t>
      </w:r>
    </w:p>
    <w:p w14:paraId="6246D8C5" w14:textId="357F7A98"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It is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on you to assess whether the reasons for not blackholing are legitimate and any genuine project should not take offense by any questions you put to them about blackholing unless they have something to hide.</w:t>
      </w:r>
    </w:p>
    <w:p w14:paraId="653D560D" w14:textId="06CE10C8" w:rsidR="00BA0DD2" w:rsidRDefault="00BA0DD2" w:rsidP="00BA0DD2">
      <w:pPr>
        <w:spacing w:line="240" w:lineRule="auto"/>
        <w:jc w:val="both"/>
        <w:rPr>
          <w:rFonts w:ascii="Calibri" w:eastAsia="Times New Roman" w:hAnsi="Calibri" w:cs="Calibri"/>
          <w:color w:val="000000"/>
        </w:rPr>
      </w:pPr>
      <w:r w:rsidRPr="00BA0DD2">
        <w:rPr>
          <w:rFonts w:ascii="Calibri" w:eastAsia="Times New Roman" w:hAnsi="Calibri" w:cs="Calibri"/>
          <w:color w:val="000000"/>
        </w:rPr>
        <w:t>For more information on how to verify whether a token is blackholed or not, please see our up and coming forensics course, but for now you should get this information from their whitepaper or from their socials.</w:t>
      </w:r>
    </w:p>
    <w:p w14:paraId="65C204E4" w14:textId="77777777" w:rsidR="0080134F" w:rsidRDefault="0080134F" w:rsidP="0080134F">
      <w:pPr>
        <w:pStyle w:val="NormalWeb"/>
        <w:spacing w:before="0" w:beforeAutospacing="0" w:after="160" w:afterAutospacing="0"/>
      </w:pPr>
      <w:r>
        <w:rPr>
          <w:rFonts w:ascii="Calibri" w:hAnsi="Calibri" w:cs="Calibri"/>
          <w:b/>
          <w:bCs/>
          <w:color w:val="000000"/>
          <w:sz w:val="22"/>
          <w:szCs w:val="22"/>
        </w:rPr>
        <w:t>Lesson 8: Blackholing – Limiting Inflation Quiz</w:t>
      </w:r>
    </w:p>
    <w:p w14:paraId="15D6B5E1" w14:textId="77777777" w:rsidR="0080134F" w:rsidRDefault="0080134F" w:rsidP="0080134F">
      <w:pPr>
        <w:pStyle w:val="NormalWeb"/>
        <w:numPr>
          <w:ilvl w:val="0"/>
          <w:numId w:val="6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blackholing mean?</w:t>
      </w:r>
    </w:p>
    <w:p w14:paraId="690C3D4C" w14:textId="69AB3050"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5E390FB" wp14:editId="46D1620C">
            <wp:extent cx="260985" cy="225425"/>
            <wp:effectExtent l="0" t="0" r="5715" b="3175"/>
            <wp:docPr id="97" name="Picture 9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that so long as you keep your crypto away from sunlight, it's safe</w:t>
      </w:r>
    </w:p>
    <w:p w14:paraId="15986E2B" w14:textId="128D3041"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63DA5D4" wp14:editId="6E60CC5E">
            <wp:extent cx="260985" cy="225425"/>
            <wp:effectExtent l="0" t="0" r="5715" b="3175"/>
            <wp:docPr id="96" name="Picture 9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a project cannot issue new tokens and increase circulation</w:t>
      </w:r>
    </w:p>
    <w:p w14:paraId="13C72E22" w14:textId="1506700F"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3059C7B" w14:textId="3FF5BD1A" w:rsidR="0080134F" w:rsidRPr="0080134F" w:rsidRDefault="0080134F" w:rsidP="0080134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a project cannot issue new tokens and increase circulation</w:t>
      </w:r>
    </w:p>
    <w:p w14:paraId="5B417EE7" w14:textId="36A5E31C" w:rsidR="0080134F" w:rsidRDefault="0080134F" w:rsidP="0080134F">
      <w:pPr>
        <w:pStyle w:val="NormalWeb"/>
        <w:numPr>
          <w:ilvl w:val="0"/>
          <w:numId w:val="6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Is a project less trustworthy because they are not blackholed?</w:t>
      </w:r>
    </w:p>
    <w:p w14:paraId="7AAE58BA" w14:textId="298C5BC7"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60F9C25" wp14:editId="5CA7B9B6">
            <wp:extent cx="260985" cy="225425"/>
            <wp:effectExtent l="0" t="0" r="5715" b="3175"/>
            <wp:docPr id="95" name="Picture 9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No blackhole = red flag</w:t>
      </w:r>
    </w:p>
    <w:p w14:paraId="0D8EDE98" w14:textId="2F683858"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FE60105" wp14:editId="09417668">
            <wp:extent cx="260985" cy="225425"/>
            <wp:effectExtent l="0" t="0" r="5715" b="3175"/>
            <wp:docPr id="94" name="Picture 9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It's not that simple, you need to look at the utility the project is bringing before making your judgement</w:t>
      </w:r>
    </w:p>
    <w:p w14:paraId="3CFE2CFC" w14:textId="51645BB2"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21E9FEC" w14:textId="17B4BC2A"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It’s not that simple, you need to look at the utility the project is bringing before making your judgement</w:t>
      </w:r>
    </w:p>
    <w:p w14:paraId="0BA3577A" w14:textId="145F89FC" w:rsidR="00590DD3" w:rsidRDefault="00590DD3" w:rsidP="0080134F">
      <w:pPr>
        <w:pStyle w:val="NormalWeb"/>
        <w:spacing w:before="0" w:beforeAutospacing="0" w:after="160" w:afterAutospacing="0"/>
        <w:rPr>
          <w:rFonts w:ascii="Calibri" w:hAnsi="Calibri" w:cs="Calibri"/>
          <w:b/>
          <w:bCs/>
          <w:color w:val="000000"/>
          <w:sz w:val="22"/>
          <w:szCs w:val="22"/>
        </w:rPr>
      </w:pPr>
    </w:p>
    <w:p w14:paraId="55111250"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Lesson 9: Who’s Holding What – Power In Numbers</w:t>
      </w:r>
    </w:p>
    <w:p w14:paraId="0AF863AD"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Congratulations! You have passed this lesson's quiz achieving 100%</w:t>
      </w:r>
    </w:p>
    <w:p w14:paraId="7614AACD" w14:textId="77777777" w:rsidR="008840A3" w:rsidRDefault="008840A3" w:rsidP="008840A3">
      <w:pPr>
        <w:pStyle w:val="NormalWeb"/>
        <w:spacing w:before="0" w:beforeAutospacing="0" w:after="160" w:afterAutospacing="0"/>
        <w:jc w:val="both"/>
      </w:pPr>
      <w:r>
        <w:rPr>
          <w:rFonts w:ascii="Calibri" w:hAnsi="Calibri" w:cs="Calibri"/>
          <w:i/>
          <w:iCs/>
          <w:color w:val="000000"/>
          <w:sz w:val="22"/>
          <w:szCs w:val="22"/>
        </w:rPr>
        <w:t>Length: 10 minutes</w:t>
      </w:r>
    </w:p>
    <w:p w14:paraId="11E97B3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This is a very important part of DYOR. Before investing in a project you should always check how the circulating supply of tokens is held and by whom.</w:t>
      </w:r>
    </w:p>
    <w:p w14:paraId="45282FC4"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lastRenderedPageBreak/>
        <w:t>Ordinarily, there will be one or several wallets holding a large amount of tokens. This is not uncommon. Depending on how the project has their “Project Wallets” organised, they may have one holding tokens destined for air drops or rewards, and another holding team payments/project/listings budget. There may then be any number of project officers who also have personal wallets holding sizeable amounts. Whilst this shouldn’t concern you, the larger the amount the project is withholding, the greater you should be digging into why this is.</w:t>
      </w:r>
    </w:p>
    <w:p w14:paraId="31BD3CAF"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As a general rule, a wallet holding any more than 25% should be something that should be detailed somewhere, and if not should be something you would want to question.</w:t>
      </w:r>
    </w:p>
    <w:p w14:paraId="43CDCE2E" w14:textId="77777777" w:rsidR="008840A3" w:rsidRDefault="008840A3" w:rsidP="008840A3">
      <w:pPr>
        <w:pStyle w:val="NormalWeb"/>
        <w:spacing w:before="0" w:beforeAutospacing="0" w:after="160" w:afterAutospacing="0"/>
        <w:jc w:val="both"/>
      </w:pPr>
      <w:r>
        <w:rPr>
          <w:rFonts w:ascii="Calibri" w:hAnsi="Calibri" w:cs="Calibri"/>
          <w:b/>
          <w:bCs/>
          <w:color w:val="000000"/>
          <w:sz w:val="22"/>
          <w:szCs w:val="22"/>
        </w:rPr>
        <w:t>“The classic rug pull”</w:t>
      </w:r>
    </w:p>
    <w:p w14:paraId="496B94ED" w14:textId="11DFA618" w:rsidR="008840A3" w:rsidRDefault="008840A3" w:rsidP="008840A3">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This is where a small number of the total supply of tokens are sold in pre-sale or issued as air drops, the project is then pumped, and then those running the project dump their huge holding when the token price hits a decent valuation and then the price bottoms out leaving all the holders with nothing.</w:t>
      </w:r>
    </w:p>
    <w:p w14:paraId="4BF393E6" w14:textId="77777777" w:rsidR="008840A3" w:rsidRDefault="008840A3" w:rsidP="008840A3">
      <w:pPr>
        <w:pStyle w:val="NormalWeb"/>
        <w:spacing w:before="0" w:beforeAutospacing="0" w:after="160" w:afterAutospacing="0"/>
        <w:jc w:val="both"/>
      </w:pPr>
    </w:p>
    <w:p w14:paraId="2722C951" w14:textId="77777777" w:rsidR="008840A3" w:rsidRDefault="008840A3" w:rsidP="008840A3">
      <w:pPr>
        <w:pStyle w:val="NormalWeb"/>
        <w:spacing w:before="0" w:beforeAutospacing="0" w:after="160" w:afterAutospacing="0"/>
        <w:jc w:val="center"/>
        <w:rPr>
          <w:rFonts w:ascii="Calibri" w:hAnsi="Calibri" w:cs="Calibri"/>
          <w:color w:val="000000"/>
          <w:sz w:val="22"/>
          <w:szCs w:val="22"/>
        </w:rPr>
      </w:pPr>
      <w:r>
        <w:rPr>
          <w:rFonts w:ascii="Calibri" w:hAnsi="Calibri" w:cs="Calibri"/>
          <w:noProof/>
          <w:color w:val="000000"/>
          <w:sz w:val="22"/>
          <w:szCs w:val="22"/>
          <w:bdr w:val="none" w:sz="0" w:space="0" w:color="auto" w:frame="1"/>
        </w:rPr>
        <w:drawing>
          <wp:inline distT="0" distB="0" distL="0" distR="0" wp14:anchorId="160EE919" wp14:editId="30AFDACA">
            <wp:extent cx="5949315" cy="3681095"/>
            <wp:effectExtent l="0" t="0" r="0" b="0"/>
            <wp:docPr id="98" name="Picture 98" descr="https://lh4.googleusercontent.com/a_Ou9hitcxYh0aLs-Pkp0F2Z8aEPEw2Xddu_FvmdV_QdWhuuLAlUy4cT29Z6SinlCBx0iZDD0HwkpInA_fQKhwx1xlxVJtrzTLVtLBNNIxt3WXUq1RBHXGeqaI-JA-tQBcBjDXyfUifItnqeZEgx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a_Ou9hitcxYh0aLs-Pkp0F2Z8aEPEw2Xddu_FvmdV_QdWhuuLAlUy4cT29Z6SinlCBx0iZDD0HwkpInA_fQKhwx1xlxVJtrzTLVtLBNNIxt3WXUq1RBHXGeqaI-JA-tQBcBjDXyfUifItnqeZEgxu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9315" cy="3681095"/>
                    </a:xfrm>
                    <a:prstGeom prst="rect">
                      <a:avLst/>
                    </a:prstGeom>
                    <a:noFill/>
                    <a:ln>
                      <a:noFill/>
                    </a:ln>
                  </pic:spPr>
                </pic:pic>
              </a:graphicData>
            </a:graphic>
          </wp:inline>
        </w:drawing>
      </w:r>
      <w:r>
        <w:rPr>
          <w:rFonts w:ascii="Calibri" w:hAnsi="Calibri" w:cs="Calibri"/>
          <w:color w:val="000000"/>
          <w:sz w:val="22"/>
          <w:szCs w:val="22"/>
        </w:rPr>
        <w:br/>
      </w:r>
    </w:p>
    <w:p w14:paraId="3F3D1640" w14:textId="5A7DCCB3" w:rsidR="008840A3" w:rsidRDefault="008840A3" w:rsidP="008840A3">
      <w:pPr>
        <w:pStyle w:val="NormalWeb"/>
        <w:spacing w:before="0" w:beforeAutospacing="0" w:after="160" w:afterAutospacing="0"/>
        <w:jc w:val="both"/>
      </w:pPr>
      <w:r>
        <w:rPr>
          <w:rFonts w:ascii="Calibri" w:hAnsi="Calibri" w:cs="Calibri"/>
          <w:color w:val="000000"/>
          <w:sz w:val="22"/>
          <w:szCs w:val="22"/>
        </w:rPr>
        <w:t>You can also become victim of a slower rug whereby project dev(s) may be slowly selling off their holding so that it is less noticeable in the charts. Always worth keeping an eye on the top 10 wallets holding the project’s token, and being alert to observations made by other community members.</w:t>
      </w:r>
    </w:p>
    <w:p w14:paraId="258B5A09" w14:textId="77777777" w:rsidR="008840A3" w:rsidRDefault="008840A3" w:rsidP="008840A3">
      <w:pPr>
        <w:pStyle w:val="NormalWeb"/>
        <w:spacing w:before="0" w:beforeAutospacing="0" w:after="160" w:afterAutospacing="0"/>
        <w:jc w:val="both"/>
      </w:pPr>
      <w:r>
        <w:rPr>
          <w:rFonts w:ascii="Calibri" w:hAnsi="Calibri" w:cs="Calibri"/>
          <w:color w:val="000000"/>
          <w:sz w:val="22"/>
          <w:szCs w:val="22"/>
        </w:rPr>
        <w:t>Most of this information should be detailed under Tokenomics in the project’s whitepaper. There are some platforms such as </w:t>
      </w:r>
      <w:hyperlink r:id="rId78" w:history="1">
        <w:r>
          <w:rPr>
            <w:rStyle w:val="Hyperlink"/>
            <w:rFonts w:ascii="Calibri" w:hAnsi="Calibri" w:cs="Calibri"/>
            <w:b/>
            <w:bCs/>
            <w:color w:val="0563C1"/>
            <w:sz w:val="22"/>
            <w:szCs w:val="22"/>
          </w:rPr>
          <w:t>xpmarket.io</w:t>
        </w:r>
      </w:hyperlink>
      <w:r>
        <w:rPr>
          <w:rFonts w:ascii="Calibri" w:hAnsi="Calibri" w:cs="Calibri"/>
          <w:color w:val="000000"/>
          <w:sz w:val="22"/>
          <w:szCs w:val="22"/>
        </w:rPr>
        <w:t> and </w:t>
      </w:r>
      <w:hyperlink r:id="rId79" w:history="1">
        <w:r>
          <w:rPr>
            <w:rStyle w:val="Hyperlink"/>
            <w:rFonts w:ascii="Calibri" w:hAnsi="Calibri" w:cs="Calibri"/>
            <w:b/>
            <w:bCs/>
            <w:color w:val="0563C1"/>
            <w:sz w:val="22"/>
            <w:szCs w:val="22"/>
          </w:rPr>
          <w:t>xrplcoins.com</w:t>
        </w:r>
      </w:hyperlink>
      <w:r>
        <w:rPr>
          <w:rFonts w:ascii="Calibri" w:hAnsi="Calibri" w:cs="Calibri"/>
          <w:color w:val="000000"/>
          <w:sz w:val="22"/>
          <w:szCs w:val="22"/>
        </w:rPr>
        <w:t xml:space="preserve"> that will show you the Richlist (top holding wallets) for any given project you are considering an investment in. Failing this and if you have any concerns turn to any of their social media platforms and ask them. Remember that it is your right as an </w:t>
      </w:r>
      <w:r>
        <w:rPr>
          <w:rFonts w:ascii="Calibri" w:hAnsi="Calibri" w:cs="Calibri"/>
          <w:color w:val="000000"/>
          <w:sz w:val="22"/>
          <w:szCs w:val="22"/>
        </w:rPr>
        <w:lastRenderedPageBreak/>
        <w:t>investor to ask about any aspect of the project and their responsibility to offer you some clarity, so don’t hesitate.</w:t>
      </w:r>
    </w:p>
    <w:p w14:paraId="303D57E6" w14:textId="77777777" w:rsidR="00590DD3" w:rsidRPr="0080134F" w:rsidRDefault="00590DD3" w:rsidP="0080134F">
      <w:pPr>
        <w:pStyle w:val="NormalWeb"/>
        <w:spacing w:before="0" w:beforeAutospacing="0" w:after="160" w:afterAutospacing="0"/>
        <w:rPr>
          <w:b/>
        </w:rPr>
      </w:pPr>
    </w:p>
    <w:p w14:paraId="49842FF5" w14:textId="6F30A21E" w:rsidR="0080134F" w:rsidRPr="00BA0DD2" w:rsidRDefault="0080134F" w:rsidP="00BA0DD2">
      <w:pPr>
        <w:spacing w:line="240" w:lineRule="auto"/>
        <w:jc w:val="both"/>
        <w:rPr>
          <w:rFonts w:ascii="Calibri" w:eastAsia="Times New Roman" w:hAnsi="Calibri" w:cs="Calibri"/>
          <w:color w:val="000000"/>
        </w:rPr>
      </w:pPr>
      <w:bookmarkStart w:id="1" w:name="_GoBack"/>
      <w:bookmarkEnd w:id="1"/>
    </w:p>
    <w:sectPr w:rsidR="0080134F" w:rsidRPr="00BA0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243AD"/>
    <w:multiLevelType w:val="multilevel"/>
    <w:tmpl w:val="12F4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BE661B"/>
    <w:multiLevelType w:val="multilevel"/>
    <w:tmpl w:val="D720A5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lvlOverride w:ilvl="0">
      <w:startOverride w:val="1"/>
    </w:lvlOverride>
  </w:num>
  <w:num w:numId="2">
    <w:abstractNumId w:val="22"/>
    <w:lvlOverride w:ilvl="0">
      <w:startOverride w:val="2"/>
    </w:lvlOverride>
  </w:num>
  <w:num w:numId="3">
    <w:abstractNumId w:val="22"/>
    <w:lvlOverride w:ilvl="0">
      <w:startOverride w:val="3"/>
    </w:lvlOverride>
  </w:num>
  <w:num w:numId="4">
    <w:abstractNumId w:val="23"/>
    <w:lvlOverride w:ilvl="0">
      <w:startOverride w:val="1"/>
    </w:lvlOverride>
  </w:num>
  <w:num w:numId="5">
    <w:abstractNumId w:val="23"/>
    <w:lvlOverride w:ilvl="0">
      <w:startOverride w:val="2"/>
    </w:lvlOverride>
  </w:num>
  <w:num w:numId="6">
    <w:abstractNumId w:val="23"/>
    <w:lvlOverride w:ilvl="0">
      <w:startOverride w:val="3"/>
    </w:lvlOverride>
  </w:num>
  <w:num w:numId="7">
    <w:abstractNumId w:val="10"/>
    <w:lvlOverride w:ilvl="0">
      <w:startOverride w:val="1"/>
    </w:lvlOverride>
  </w:num>
  <w:num w:numId="8">
    <w:abstractNumId w:val="10"/>
    <w:lvlOverride w:ilvl="0">
      <w:startOverride w:val="2"/>
    </w:lvlOverride>
  </w:num>
  <w:num w:numId="9">
    <w:abstractNumId w:val="10"/>
    <w:lvlOverride w:ilvl="0">
      <w:startOverride w:val="3"/>
    </w:lvlOverride>
  </w:num>
  <w:num w:numId="10">
    <w:abstractNumId w:val="32"/>
    <w:lvlOverride w:ilvl="0">
      <w:startOverride w:val="1"/>
    </w:lvlOverride>
  </w:num>
  <w:num w:numId="11">
    <w:abstractNumId w:val="32"/>
    <w:lvlOverride w:ilvl="0">
      <w:startOverride w:val="2"/>
    </w:lvlOverride>
  </w:num>
  <w:num w:numId="12">
    <w:abstractNumId w:val="32"/>
    <w:lvlOverride w:ilvl="0">
      <w:startOverride w:val="3"/>
    </w:lvlOverride>
  </w:num>
  <w:num w:numId="13">
    <w:abstractNumId w:val="9"/>
    <w:lvlOverride w:ilvl="0">
      <w:startOverride w:val="1"/>
    </w:lvlOverride>
  </w:num>
  <w:num w:numId="14">
    <w:abstractNumId w:val="9"/>
    <w:lvlOverride w:ilvl="0">
      <w:startOverride w:val="2"/>
    </w:lvlOverride>
  </w:num>
  <w:num w:numId="15">
    <w:abstractNumId w:val="9"/>
    <w:lvlOverride w:ilvl="0">
      <w:startOverride w:val="3"/>
    </w:lvlOverride>
  </w:num>
  <w:num w:numId="16">
    <w:abstractNumId w:val="12"/>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37"/>
    <w:lvlOverride w:ilvl="0">
      <w:lvl w:ilvl="0">
        <w:numFmt w:val="decimal"/>
        <w:lvlText w:val="%1."/>
        <w:lvlJc w:val="left"/>
      </w:lvl>
    </w:lvlOverride>
  </w:num>
  <w:num w:numId="19">
    <w:abstractNumId w:val="26"/>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6"/>
  </w:num>
  <w:num w:numId="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8"/>
  </w:num>
  <w:num w:numId="31">
    <w:abstractNumId w:val="28"/>
  </w:num>
  <w:num w:numId="32">
    <w:abstractNumId w:val="3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7"/>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7"/>
  </w:num>
  <w:num w:numId="46">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9"/>
  </w:num>
  <w:num w:numId="52">
    <w:abstractNumId w:val="39"/>
    <w:lvlOverride w:ilvl="1">
      <w:lvl w:ilvl="1">
        <w:numFmt w:val="bullet"/>
        <w:lvlText w:val=""/>
        <w:lvlJc w:val="left"/>
        <w:pPr>
          <w:tabs>
            <w:tab w:val="num" w:pos="1440"/>
          </w:tabs>
          <w:ind w:left="1440" w:hanging="360"/>
        </w:pPr>
        <w:rPr>
          <w:rFonts w:ascii="Symbol" w:hAnsi="Symbol" w:hint="default"/>
          <w:sz w:val="20"/>
        </w:rPr>
      </w:lvl>
    </w:lvlOverride>
  </w:num>
  <w:num w:numId="53">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19"/>
  </w:num>
  <w:num w:numId="55">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30"/>
  </w:num>
  <w:num w:numId="58">
    <w:abstractNumId w:val="8"/>
  </w:num>
  <w:num w:numId="59">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abstractNumId w:val="3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1">
    <w:abstractNumId w:val="20"/>
  </w:num>
  <w:num w:numId="62">
    <w:abstractNumId w:val="20"/>
    <w:lvlOverride w:ilvl="1">
      <w:lvl w:ilvl="1">
        <w:numFmt w:val="bullet"/>
        <w:lvlText w:val=""/>
        <w:lvlJc w:val="left"/>
        <w:pPr>
          <w:tabs>
            <w:tab w:val="num" w:pos="1440"/>
          </w:tabs>
          <w:ind w:left="1440" w:hanging="360"/>
        </w:pPr>
        <w:rPr>
          <w:rFonts w:ascii="Symbol" w:hAnsi="Symbol" w:hint="default"/>
          <w:sz w:val="20"/>
        </w:rPr>
      </w:lvl>
    </w:lvlOverride>
  </w:num>
  <w:num w:numId="63">
    <w:abstractNumId w:val="36"/>
    <w:lvlOverride w:ilvl="0">
      <w:lvl w:ilvl="0">
        <w:numFmt w:val="decimal"/>
        <w:lvlText w:val="%1."/>
        <w:lvlJc w:val="left"/>
      </w:lvl>
    </w:lvlOverride>
  </w:num>
  <w:num w:numId="64">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0DD3"/>
    <w:rsid w:val="0059521D"/>
    <w:rsid w:val="005F037A"/>
    <w:rsid w:val="005F6136"/>
    <w:rsid w:val="00630443"/>
    <w:rsid w:val="006716BB"/>
    <w:rsid w:val="007031E5"/>
    <w:rsid w:val="00744225"/>
    <w:rsid w:val="007C1675"/>
    <w:rsid w:val="0080134F"/>
    <w:rsid w:val="00814F25"/>
    <w:rsid w:val="008351A5"/>
    <w:rsid w:val="008840A3"/>
    <w:rsid w:val="008C371B"/>
    <w:rsid w:val="008C77CC"/>
    <w:rsid w:val="009B23CC"/>
    <w:rsid w:val="009C52A6"/>
    <w:rsid w:val="009D3862"/>
    <w:rsid w:val="009F649C"/>
    <w:rsid w:val="00A0145D"/>
    <w:rsid w:val="00A43EF5"/>
    <w:rsid w:val="00A5455C"/>
    <w:rsid w:val="00A84D00"/>
    <w:rsid w:val="00AE3998"/>
    <w:rsid w:val="00B61DFF"/>
    <w:rsid w:val="00BA0DD2"/>
    <w:rsid w:val="00BB0B5F"/>
    <w:rsid w:val="00BB1421"/>
    <w:rsid w:val="00BB2168"/>
    <w:rsid w:val="00BE3F9E"/>
    <w:rsid w:val="00C07CEB"/>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307243561">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38123895">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31857706">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84" Type="http://schemas.microsoft.com/office/2018/08/relationships/commentsExtensible" Target="commentsExtensible.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2.xml"/><Relationship Id="rId74" Type="http://schemas.openxmlformats.org/officeDocument/2006/relationships/image" Target="media/image17.png"/><Relationship Id="rId79" Type="http://schemas.openxmlformats.org/officeDocument/2006/relationships/hyperlink" Target="https://xrplcoins.com/" TargetMode="External"/><Relationship Id="rId5" Type="http://schemas.openxmlformats.org/officeDocument/2006/relationships/image" Target="media/image1.wmf"/><Relationship Id="rId61" Type="http://schemas.openxmlformats.org/officeDocument/2006/relationships/control" Target="activeX/activeX45.xml"/><Relationship Id="rId82" Type="http://schemas.openxmlformats.org/officeDocument/2006/relationships/theme" Target="theme/theme1.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image" Target="media/image20.png"/><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83" Type="http://schemas.microsoft.com/office/2016/09/relationships/commentsIds" Target="commentsIds.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openxmlformats.org/officeDocument/2006/relationships/hyperlink" Target="https://xpmarket.io/"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9.png"/><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mments" Target="comments.xml"/><Relationship Id="rId66"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30</Pages>
  <Words>6839</Words>
  <Characters>38984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62</cp:revision>
  <dcterms:created xsi:type="dcterms:W3CDTF">2022-07-24T11:27:00Z</dcterms:created>
  <dcterms:modified xsi:type="dcterms:W3CDTF">2022-07-25T10:02:00Z</dcterms:modified>
</cp:coreProperties>
</file>