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785F78EE"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19BC9520"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505972C2"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0EF07396"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2C8402B4"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10833D34"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2DBE2CDC"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53CA6620"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340FA960"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458E4706"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6AB48003"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1024F85B"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2B8996A2"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3C2F233A"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2A6146A0"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4DF07042"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7BD9C2A7"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7171CA27"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699D2A2C"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15DD85C8"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462D4284"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7BA3769D"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196D89F7"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1753DDB3"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2E0340D1"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71C1B064"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23A7C2F0"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086CD2AA"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36EDA1EA"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1766A8A0"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5320A138"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098E9F20"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75D0DB0C"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59965959"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2EB438A1"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6021EE04"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53639454"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4B5BECAA"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4C1F2694"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4D5755FE"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47886555"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732BBFBC"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69F8C45E"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41A4FB9B"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6BD0BB40"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64CAA669"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1177A3FE"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BA0DD2"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3962674C" w:rsidR="00B61DFF" w:rsidRDefault="00B61DFF" w:rsidP="005F6136">
      <w:pPr>
        <w:spacing w:line="240" w:lineRule="auto"/>
        <w:jc w:val="both"/>
        <w:rPr>
          <w:rFonts w:ascii="Calibri" w:eastAsia="Times New Roman" w:hAnsi="Calibri" w:cs="Calibri"/>
          <w:b/>
          <w:color w:val="FF0000"/>
        </w:rPr>
      </w:pPr>
    </w:p>
    <w:p w14:paraId="189FC97F" w14:textId="77777777" w:rsidR="00F1366B" w:rsidRDefault="00F1366B" w:rsidP="00F1366B">
      <w:pPr>
        <w:pStyle w:val="NormalWeb"/>
        <w:spacing w:before="0" w:beforeAutospacing="0" w:after="160" w:afterAutospacing="0"/>
      </w:pPr>
      <w:r>
        <w:rPr>
          <w:rFonts w:ascii="Calibri" w:hAnsi="Calibri" w:cs="Calibri"/>
          <w:b/>
          <w:bCs/>
          <w:color w:val="000000"/>
          <w:sz w:val="22"/>
          <w:szCs w:val="22"/>
        </w:rPr>
        <w:t>Lesson 6 – Doxxing – A face to a name Quiz</w:t>
      </w:r>
    </w:p>
    <w:p w14:paraId="6FB453CA" w14:textId="77777777" w:rsidR="00F1366B" w:rsidRDefault="00F1366B" w:rsidP="001F27C0">
      <w:pPr>
        <w:pStyle w:val="NormalWeb"/>
        <w:numPr>
          <w:ilvl w:val="0"/>
          <w:numId w:val="5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If a project team isn’t doxxed…</w:t>
      </w:r>
    </w:p>
    <w:p w14:paraId="73FF68FC" w14:textId="4B829641"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ED9E1CF" wp14:editId="369D4C3D">
            <wp:extent cx="260985" cy="225425"/>
            <wp:effectExtent l="0" t="0" r="5715" b="3175"/>
            <wp:docPr id="85" name="Picture 8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shouldn't invest</w:t>
      </w:r>
    </w:p>
    <w:p w14:paraId="286B8E73" w14:textId="16939153"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B89CB6" wp14:editId="30A7206C">
            <wp:extent cx="260985" cy="225425"/>
            <wp:effectExtent l="0" t="0" r="5715" b="3175"/>
            <wp:docPr id="84" name="Picture 8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 proceed with extra care as you know nothing about those behind the project</w:t>
      </w:r>
    </w:p>
    <w:p w14:paraId="414491D7" w14:textId="11853F69"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FDE5EE9" w14:textId="1BDA87CD" w:rsidR="00F1366B" w:rsidRPr="00F1366B" w:rsidRDefault="00F1366B" w:rsidP="00F1366B">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you should proceed with extra care as you know nothing about those behind the project</w:t>
      </w:r>
    </w:p>
    <w:p w14:paraId="7E9BCA8E" w14:textId="74E85EAE" w:rsidR="00F1366B" w:rsidRDefault="00F1366B" w:rsidP="001F27C0">
      <w:pPr>
        <w:pStyle w:val="NormalWeb"/>
        <w:numPr>
          <w:ilvl w:val="0"/>
          <w:numId w:val="5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with KYC and/or GlobalID you can contact them if you need to</w:t>
      </w:r>
    </w:p>
    <w:p w14:paraId="39B6A78B" w14:textId="6CF3E18B"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060DC25" wp14:editId="4A8F0D09">
            <wp:extent cx="260985" cy="225425"/>
            <wp:effectExtent l="0" t="0" r="5715" b="3175"/>
            <wp:docPr id="83" name="Picture 8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all their information is available</w:t>
      </w:r>
    </w:p>
    <w:p w14:paraId="2F464003" w14:textId="628FED70"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EEA2BD2" wp14:editId="42877B3F">
            <wp:extent cx="260985" cy="225425"/>
            <wp:effectExtent l="0" t="0" r="5715" b="3175"/>
            <wp:docPr id="82" name="Picture 8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but it makes them more easily identifiable in the event of authorities getting involved</w:t>
      </w:r>
    </w:p>
    <w:p w14:paraId="0F21A4DB" w14:textId="29989393"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D62288C" w14:textId="38DDFEAB"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 but it makes them more easily identifiable in the event of authorities getting involved</w:t>
      </w:r>
    </w:p>
    <w:p w14:paraId="377FAD74" w14:textId="382E11FC" w:rsidR="000A3BAA" w:rsidRDefault="000A3BAA" w:rsidP="00F1366B">
      <w:pPr>
        <w:pStyle w:val="NormalWeb"/>
        <w:spacing w:before="0" w:beforeAutospacing="0" w:after="160" w:afterAutospacing="0"/>
        <w:rPr>
          <w:rFonts w:ascii="Calibri" w:hAnsi="Calibri" w:cs="Calibri"/>
          <w:b/>
          <w:bCs/>
          <w:color w:val="000000"/>
          <w:sz w:val="22"/>
          <w:szCs w:val="22"/>
        </w:rPr>
      </w:pPr>
    </w:p>
    <w:p w14:paraId="3923791A" w14:textId="0BB7A55C" w:rsidR="008C371B" w:rsidRPr="008C371B" w:rsidRDefault="008C371B" w:rsidP="008C371B">
      <w:pPr>
        <w:spacing w:line="240" w:lineRule="auto"/>
        <w:jc w:val="both"/>
        <w:rPr>
          <w:rFonts w:ascii="Times New Roman" w:eastAsia="Times New Roman" w:hAnsi="Times New Roman" w:cs="Times New Roman"/>
          <w:b/>
          <w:color w:val="FF0000"/>
          <w:sz w:val="24"/>
          <w:szCs w:val="24"/>
        </w:rPr>
      </w:pPr>
      <w:r w:rsidRPr="008C371B">
        <w:rPr>
          <w:rFonts w:ascii="Calibri" w:eastAsia="Times New Roman" w:hAnsi="Calibri" w:cs="Calibri"/>
          <w:b/>
          <w:bCs/>
          <w:color w:val="000000"/>
        </w:rPr>
        <w:t>Lesson 7: Lives/AMA’s – Real People</w:t>
      </w:r>
    </w:p>
    <w:p w14:paraId="20E99A83" w14:textId="77777777" w:rsidR="008C371B" w:rsidRPr="008C371B" w:rsidRDefault="008C371B" w:rsidP="008C371B">
      <w:pPr>
        <w:spacing w:line="240" w:lineRule="auto"/>
        <w:jc w:val="both"/>
        <w:rPr>
          <w:rFonts w:ascii="Times New Roman" w:eastAsia="Times New Roman" w:hAnsi="Times New Roman" w:cs="Times New Roman"/>
          <w:i/>
          <w:sz w:val="24"/>
          <w:szCs w:val="24"/>
        </w:rPr>
      </w:pPr>
      <w:r w:rsidRPr="008C371B">
        <w:rPr>
          <w:rFonts w:ascii="Calibri" w:eastAsia="Times New Roman" w:hAnsi="Calibri" w:cs="Calibri"/>
          <w:i/>
          <w:color w:val="000000"/>
        </w:rPr>
        <w:t>Length: 10 minutes</w:t>
      </w:r>
    </w:p>
    <w:p w14:paraId="3CD952AE"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There are certain project team members and people that prefer to work in the background.</w:t>
      </w:r>
    </w:p>
    <w:p w14:paraId="7845B4CD"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Eventually, though, a project must be readied for public display. The basic least would be participation in a Twitter spaces discussion, but it would be preferable if they had also engaged in YouTube livestreams or AMAs (ask me anything), which provide public visibility and inspire faith in the idea.</w:t>
      </w:r>
    </w:p>
    <w:p w14:paraId="47665BCD" w14:textId="62B258C5" w:rsidR="008C371B" w:rsidRPr="008C371B" w:rsidRDefault="008C371B" w:rsidP="008C371B">
      <w:pPr>
        <w:spacing w:line="240" w:lineRule="auto"/>
        <w:jc w:val="both"/>
        <w:rPr>
          <w:rFonts w:ascii="Calibri" w:eastAsia="Times New Roman" w:hAnsi="Calibri" w:cs="Calibri"/>
          <w:b/>
          <w:color w:val="FF0000"/>
        </w:rPr>
      </w:pPr>
      <w:r w:rsidRPr="008C371B">
        <w:rPr>
          <w:rFonts w:ascii="Calibri" w:eastAsia="Times New Roman" w:hAnsi="Calibri" w:cs="Calibri"/>
          <w:color w:val="000000"/>
        </w:rPr>
        <w:t>As you begin to follow more individuals in this area, you may frequently engage in Spaces discussions sponsored by a wide variety of initiatives or Twitter celebrities. These are generally</w:t>
      </w:r>
      <w:r>
        <w:rPr>
          <w:rFonts w:ascii="Calibri" w:eastAsia="Times New Roman" w:hAnsi="Calibri" w:cs="Calibri"/>
          <w:color w:val="000000"/>
        </w:rPr>
        <w:t xml:space="preserve"> </w:t>
      </w:r>
      <w:r>
        <w:rPr>
          <w:rFonts w:ascii="Calibri" w:eastAsia="Times New Roman" w:hAnsi="Calibri" w:cs="Calibri"/>
          <w:b/>
          <w:color w:val="FF0000"/>
        </w:rPr>
        <w:t>[need additional content?]</w:t>
      </w:r>
    </w:p>
    <w:p w14:paraId="1A25A04D" w14:textId="77777777" w:rsidR="001F27C0" w:rsidRDefault="008C371B" w:rsidP="001F27C0">
      <w:pPr>
        <w:spacing w:line="240" w:lineRule="auto"/>
        <w:jc w:val="center"/>
        <w:rPr>
          <w:rFonts w:ascii="Calibri" w:eastAsia="Times New Roman" w:hAnsi="Calibri" w:cs="Calibri"/>
          <w:color w:val="000000"/>
        </w:rPr>
      </w:pPr>
      <w:r w:rsidRPr="008C371B">
        <w:rPr>
          <w:rFonts w:ascii="Calibri" w:eastAsia="Times New Roman" w:hAnsi="Calibri" w:cs="Calibri"/>
          <w:color w:val="000000"/>
        </w:rPr>
        <w:lastRenderedPageBreak/>
        <w:br/>
      </w:r>
      <w:r w:rsidRPr="008C371B">
        <w:rPr>
          <w:rFonts w:ascii="Calibri" w:eastAsia="Times New Roman" w:hAnsi="Calibri" w:cs="Calibri"/>
          <w:noProof/>
          <w:color w:val="000000"/>
          <w:bdr w:val="none" w:sz="0" w:space="0" w:color="auto" w:frame="1"/>
        </w:rPr>
        <w:drawing>
          <wp:inline distT="0" distB="0" distL="0" distR="0" wp14:anchorId="4477AF1F" wp14:editId="4484CBB5">
            <wp:extent cx="2137410" cy="2137410"/>
            <wp:effectExtent l="0" t="0" r="0" b="0"/>
            <wp:docPr id="87" name="Picture 87" descr="https://lh6.googleusercontent.com/Bfxqae1Huj47IG7mWHVHyjy4pH1C-_nBKgA0lwMlv4TEJ406Ab7ZScdERBcOybPQF9DTiTVUflAHm-W-UX5YyOdj6IQyzPibxvIz4w9Ew1i9gOfo7_1frk4jIiJDiZcKnAvLws64D1NBaM5O-fE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Bfxqae1Huj47IG7mWHVHyjy4pH1C-_nBKgA0lwMlv4TEJ406Ab7ZScdERBcOybPQF9DTiTVUflAHm-W-UX5YyOdj6IQyzPibxvIz4w9Ew1i9gOfo7_1frk4jIiJDiZcKnAvLws64D1NBaM5O-fE3K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25360347" w14:textId="56912AD9" w:rsidR="008C371B" w:rsidRPr="001F27C0" w:rsidRDefault="008C371B" w:rsidP="001F27C0">
      <w:pPr>
        <w:spacing w:line="240" w:lineRule="auto"/>
        <w:rPr>
          <w:rFonts w:ascii="Calibri" w:eastAsia="Times New Roman" w:hAnsi="Calibri" w:cs="Calibri"/>
          <w:color w:val="000000"/>
        </w:rPr>
      </w:pPr>
      <w:r w:rsidRPr="008C371B">
        <w:rPr>
          <w:rFonts w:ascii="Calibri" w:eastAsia="Times New Roman" w:hAnsi="Calibri" w:cs="Calibri"/>
          <w:color w:val="000000"/>
        </w:rPr>
        <w:t>Top tips:</w:t>
      </w:r>
    </w:p>
    <w:p w14:paraId="2428765D" w14:textId="77777777" w:rsidR="008C371B" w:rsidRPr="008C371B"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Don’t be afraid to ask a project when they plan to do any live chats, AMA’s or make any videos they have done publicly available</w:t>
      </w:r>
    </w:p>
    <w:p w14:paraId="46181824" w14:textId="064D0EE7" w:rsidR="008C371B" w:rsidRPr="001F27C0"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If they refuse, you need to ask them why…there should be no reason for a project to not make themselves available for their potential investors/holders, at the end of the day they are answerable to you.</w:t>
      </w:r>
    </w:p>
    <w:p w14:paraId="617D53AB" w14:textId="77777777" w:rsidR="001F27C0" w:rsidRDefault="001F27C0" w:rsidP="008C371B">
      <w:pPr>
        <w:spacing w:line="240" w:lineRule="auto"/>
        <w:jc w:val="both"/>
        <w:rPr>
          <w:rFonts w:ascii="Calibri" w:eastAsia="Times New Roman" w:hAnsi="Calibri" w:cs="Calibri"/>
          <w:color w:val="000000"/>
        </w:rPr>
      </w:pPr>
    </w:p>
    <w:p w14:paraId="372BBE3E" w14:textId="2A5D89D4"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Don’t be just a listener. The chances are if you have something on your mind, it will be on others as well. So be the one that asks the difficult questions</w:t>
      </w:r>
    </w:p>
    <w:p w14:paraId="162D2C0E" w14:textId="6A263040" w:rsidR="00B61DFF" w:rsidRDefault="008C371B" w:rsidP="008C371B">
      <w:pPr>
        <w:spacing w:line="240" w:lineRule="auto"/>
        <w:jc w:val="center"/>
        <w:rPr>
          <w:rFonts w:ascii="Calibri" w:eastAsia="Times New Roman" w:hAnsi="Calibri" w:cs="Calibri"/>
          <w:color w:val="000000"/>
        </w:rPr>
      </w:pPr>
      <w:r w:rsidRPr="008C371B">
        <w:rPr>
          <w:rFonts w:ascii="Calibri" w:eastAsia="Times New Roman" w:hAnsi="Calibri" w:cs="Calibri"/>
          <w:noProof/>
          <w:color w:val="000000"/>
          <w:bdr w:val="none" w:sz="0" w:space="0" w:color="auto" w:frame="1"/>
        </w:rPr>
        <w:drawing>
          <wp:inline distT="0" distB="0" distL="0" distR="0" wp14:anchorId="3E8616BF" wp14:editId="256577C3">
            <wp:extent cx="1852295" cy="1389380"/>
            <wp:effectExtent l="0" t="0" r="0" b="1270"/>
            <wp:docPr id="86" name="Picture 86" descr="https://lh3.googleusercontent.com/nnNRlOWsdyXTce9k77OJrbouwaySBbXm6tvELaQuqAQQEB1sDD89TW072PMapYvsr0c05amZ8M0SMpb3yViK_jmInjhTZF5FWCakfGy1M59oIqOTtFBYgKVnJuTmZBmzm2yrL0-qleMvsUwg0F_P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nnNRlOWsdyXTce9k77OJrbouwaySBbXm6tvELaQuqAQQEB1sDD89TW072PMapYvsr0c05amZ8M0SMpb3yViK_jmInjhTZF5FWCakfGy1M59oIqOTtFBYgKVnJuTmZBmzm2yrL0-qleMvsUwg0F_P3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52295" cy="1389380"/>
                    </a:xfrm>
                    <a:prstGeom prst="rect">
                      <a:avLst/>
                    </a:prstGeom>
                    <a:noFill/>
                    <a:ln>
                      <a:noFill/>
                    </a:ln>
                  </pic:spPr>
                </pic:pic>
              </a:graphicData>
            </a:graphic>
          </wp:inline>
        </w:drawing>
      </w:r>
    </w:p>
    <w:p w14:paraId="401EE750" w14:textId="77777777" w:rsidR="001F27C0" w:rsidRDefault="001F27C0" w:rsidP="001F27C0">
      <w:pPr>
        <w:pStyle w:val="NormalWeb"/>
        <w:spacing w:before="0" w:beforeAutospacing="0" w:after="160" w:afterAutospacing="0"/>
        <w:rPr>
          <w:rFonts w:ascii="Calibri" w:hAnsi="Calibri" w:cs="Calibri"/>
          <w:b/>
          <w:bCs/>
          <w:color w:val="000000"/>
          <w:sz w:val="22"/>
          <w:szCs w:val="22"/>
        </w:rPr>
      </w:pPr>
    </w:p>
    <w:p w14:paraId="6B5A905B" w14:textId="75545A73" w:rsidR="001F27C0" w:rsidRDefault="001F27C0" w:rsidP="001F27C0">
      <w:pPr>
        <w:pStyle w:val="NormalWeb"/>
        <w:spacing w:before="0" w:beforeAutospacing="0" w:after="160" w:afterAutospacing="0"/>
      </w:pPr>
      <w:r>
        <w:rPr>
          <w:rFonts w:ascii="Calibri" w:hAnsi="Calibri" w:cs="Calibri"/>
          <w:b/>
          <w:bCs/>
          <w:color w:val="000000"/>
          <w:sz w:val="22"/>
          <w:szCs w:val="22"/>
        </w:rPr>
        <w:t>Lesson 7: Lives/AMA’s – Real People Quiz</w:t>
      </w:r>
    </w:p>
    <w:p w14:paraId="7E6F825D" w14:textId="77777777" w:rsidR="001F27C0" w:rsidRDefault="001F27C0" w:rsidP="001F27C0">
      <w:pPr>
        <w:pStyle w:val="NormalWeb"/>
        <w:numPr>
          <w:ilvl w:val="0"/>
          <w:numId w:val="5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an AMA?</w:t>
      </w:r>
    </w:p>
    <w:p w14:paraId="16E914EF" w14:textId="119D5E0E"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DEF31BF" wp14:editId="03849D90">
            <wp:extent cx="260985" cy="225425"/>
            <wp:effectExtent l="0" t="0" r="5715" b="3175"/>
            <wp:docPr id="92" name="Picture 9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Automatic Money Accreditation</w:t>
      </w:r>
    </w:p>
    <w:p w14:paraId="06D4E514" w14:textId="7B7E0C83"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C54457A" wp14:editId="26508EAB">
            <wp:extent cx="260985" cy="225425"/>
            <wp:effectExtent l="0" t="0" r="5715" b="3175"/>
            <wp:docPr id="91" name="Picture 9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Anything</w:t>
      </w:r>
    </w:p>
    <w:p w14:paraId="3064D1FC" w14:textId="666D0216"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7FA3209" wp14:editId="7D880677">
            <wp:extent cx="260985" cy="225425"/>
            <wp:effectExtent l="0" t="0" r="5715" b="3175"/>
            <wp:docPr id="90" name="Picture 9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Anonymously</w:t>
      </w:r>
    </w:p>
    <w:p w14:paraId="26D88059" w14:textId="1FFFB62B" w:rsidR="001F27C0" w:rsidRDefault="001F27C0" w:rsidP="001F27C0">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2FFC4A71" w14:textId="002DE86C" w:rsidR="001F27C0" w:rsidRPr="001F27C0" w:rsidRDefault="001F27C0" w:rsidP="001F27C0">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Ask Me Anything</w:t>
      </w:r>
    </w:p>
    <w:p w14:paraId="5AC09AF7" w14:textId="6199EB63" w:rsidR="001F27C0" w:rsidRDefault="001F27C0" w:rsidP="001F27C0">
      <w:pPr>
        <w:pStyle w:val="NormalWeb"/>
        <w:numPr>
          <w:ilvl w:val="0"/>
          <w:numId w:val="5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a project that doesn’t do AMA’s can’t be trusted</w:t>
      </w:r>
    </w:p>
    <w:p w14:paraId="2A05DE42" w14:textId="682F16B0"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45E5F82" wp14:editId="237C0741">
            <wp:extent cx="260985" cy="225425"/>
            <wp:effectExtent l="0" t="0" r="5715" b="3175"/>
            <wp:docPr id="89" name="Picture 8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if they won't put themselves out there then they are not under any circumstances to be trusted.</w:t>
      </w:r>
    </w:p>
    <w:p w14:paraId="3E2C4C5D" w14:textId="41B76F9F"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382C8B5" wp14:editId="3A78A750">
            <wp:extent cx="260985" cy="225425"/>
            <wp:effectExtent l="0" t="0" r="5715" b="3175"/>
            <wp:docPr id="88" name="Picture 8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there may be a number of reasons why they can't, such as language barriers for example</w:t>
      </w:r>
    </w:p>
    <w:p w14:paraId="447A6314" w14:textId="77777777" w:rsidR="001F27C0" w:rsidRDefault="001F27C0" w:rsidP="001F27C0">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637C132" w14:textId="77777777" w:rsidR="001F27C0" w:rsidRDefault="001F27C0" w:rsidP="001F27C0">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False: there may be a number of reasons why they can't, such as language barriers for example</w:t>
      </w:r>
    </w:p>
    <w:p w14:paraId="1624DB47" w14:textId="2B9637A6" w:rsidR="008C371B" w:rsidRDefault="008C371B" w:rsidP="008C371B">
      <w:pPr>
        <w:spacing w:line="240" w:lineRule="auto"/>
        <w:rPr>
          <w:rFonts w:ascii="Times New Roman" w:eastAsia="Times New Roman" w:hAnsi="Times New Roman" w:cs="Times New Roman"/>
          <w:b/>
          <w:sz w:val="24"/>
          <w:szCs w:val="24"/>
        </w:rPr>
      </w:pPr>
    </w:p>
    <w:p w14:paraId="5A845912"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Lesson 8: Blackholing – Limiting Inflation</w:t>
      </w:r>
    </w:p>
    <w:p w14:paraId="6C75DFED"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i/>
          <w:iCs/>
          <w:color w:val="000000"/>
        </w:rPr>
        <w:t>Length: 10 minutes</w:t>
      </w:r>
    </w:p>
    <w:p w14:paraId="011C79D1"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Before investing in a project, you will want to really familiarise yourself with the project and what it aims to achieve (whitepaper). Second to that, you will want to see whether the account that issued the token is blackholed.</w:t>
      </w:r>
    </w:p>
    <w:p w14:paraId="3C79FE00"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What does it mean to be blackholed?</w:t>
      </w:r>
    </w:p>
    <w:p w14:paraId="2F120CE2" w14:textId="68C5AE4E"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If a project chooses to blackhole the issuing address after issuing their circulation of tokens, it means they will never be able to issue any more tokens. As someone investing in that token, being protected against possible inflation from new tokens being issued</w:t>
      </w:r>
      <w:r>
        <w:rPr>
          <w:rFonts w:ascii="Calibri" w:eastAsia="Times New Roman" w:hAnsi="Calibri" w:cs="Calibri"/>
          <w:color w:val="000000"/>
        </w:rPr>
        <w:t>,</w:t>
      </w:r>
      <w:r w:rsidRPr="00BA0DD2">
        <w:rPr>
          <w:rFonts w:ascii="Calibri" w:eastAsia="Times New Roman" w:hAnsi="Calibri" w:cs="Calibri"/>
          <w:color w:val="000000"/>
        </w:rPr>
        <w:t xml:space="preserve"> which will bring down the value of your holding</w:t>
      </w:r>
      <w:r>
        <w:rPr>
          <w:rFonts w:ascii="Calibri" w:eastAsia="Times New Roman" w:hAnsi="Calibri" w:cs="Calibri"/>
          <w:color w:val="000000"/>
        </w:rPr>
        <w:t>,</w:t>
      </w:r>
      <w:r w:rsidRPr="00BA0DD2">
        <w:rPr>
          <w:rFonts w:ascii="Calibri" w:eastAsia="Times New Roman" w:hAnsi="Calibri" w:cs="Calibri"/>
          <w:color w:val="000000"/>
        </w:rPr>
        <w:t xml:space="preserve"> should be a </w:t>
      </w:r>
      <w:r>
        <w:rPr>
          <w:rFonts w:ascii="Calibri" w:eastAsia="Times New Roman" w:hAnsi="Calibri" w:cs="Calibri"/>
          <w:color w:val="000000"/>
        </w:rPr>
        <w:t>good thing. In the example of</w:t>
      </w:r>
      <w:r w:rsidRPr="00BA0DD2">
        <w:rPr>
          <w:rFonts w:ascii="Calibri" w:eastAsia="Times New Roman" w:hAnsi="Calibri" w:cs="Calibri"/>
          <w:color w:val="000000"/>
        </w:rPr>
        <w:t xml:space="preserve"> NFT projects using a token as an I.O.U against an NFT, you know that a blackholed account will ensure a degree of rarity (and in turn value)</w:t>
      </w:r>
      <w:r>
        <w:rPr>
          <w:rFonts w:ascii="Calibri" w:eastAsia="Times New Roman" w:hAnsi="Calibri" w:cs="Calibri"/>
          <w:color w:val="000000"/>
        </w:rPr>
        <w:t xml:space="preserve"> </w:t>
      </w:r>
      <w:r w:rsidRPr="00BA0DD2">
        <w:rPr>
          <w:rFonts w:ascii="Calibri" w:eastAsia="Times New Roman" w:hAnsi="Calibri" w:cs="Calibri"/>
          <w:color w:val="000000"/>
        </w:rPr>
        <w:t>to the NFT’s. In some cases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the use case will mean that blackholing will limit that project’s utility. If they are using the token as a means of rewards for example, when they have issued all the tokens then that utility will cease.</w:t>
      </w:r>
    </w:p>
    <w:p w14:paraId="22EDC808" w14:textId="77777777" w:rsidR="00BA0DD2" w:rsidRDefault="00BA0DD2" w:rsidP="00BA0DD2">
      <w:pPr>
        <w:spacing w:line="240" w:lineRule="auto"/>
        <w:jc w:val="center"/>
        <w:rPr>
          <w:rFonts w:ascii="Calibri" w:eastAsia="Times New Roman" w:hAnsi="Calibri" w:cs="Calibri"/>
          <w:b/>
          <w:bCs/>
          <w:color w:val="000000"/>
        </w:rPr>
      </w:pPr>
      <w:r w:rsidRPr="00BA0DD2">
        <w:rPr>
          <w:rFonts w:ascii="Calibri" w:eastAsia="Times New Roman" w:hAnsi="Calibri" w:cs="Calibri"/>
          <w:noProof/>
          <w:color w:val="000000"/>
          <w:bdr w:val="none" w:sz="0" w:space="0" w:color="auto" w:frame="1"/>
        </w:rPr>
        <w:drawing>
          <wp:inline distT="0" distB="0" distL="0" distR="0" wp14:anchorId="4EC0EE57" wp14:editId="369C7106">
            <wp:extent cx="6294120" cy="2885440"/>
            <wp:effectExtent l="0" t="0" r="0" b="0"/>
            <wp:docPr id="93" name="Picture 93" descr="https://lh4.googleusercontent.com/pLXDnxmvrUshoUtcAe7w5oFDfK6ZBqUL6o61V5A-8LVi_mnw6CO0t3Z6vYHkdzxhn-KV52_LWcP_hJD5YfS3MOev2Jl6E4FpH5O-cNmWhbV2KU7UINTavCyul-NOA-ty60UUV6LISUgRLcDrGkUU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pLXDnxmvrUshoUtcAe7w5oFDfK6ZBqUL6o61V5A-8LVi_mnw6CO0t3Z6vYHkdzxhn-KV52_LWcP_hJD5YfS3MOev2Jl6E4FpH5O-cNmWhbV2KU7UINTavCyul-NOA-ty60UUV6LISUgRLcDrGkUUew"/>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94120" cy="2885440"/>
                    </a:xfrm>
                    <a:prstGeom prst="rect">
                      <a:avLst/>
                    </a:prstGeom>
                    <a:noFill/>
                    <a:ln>
                      <a:noFill/>
                    </a:ln>
                  </pic:spPr>
                </pic:pic>
              </a:graphicData>
            </a:graphic>
          </wp:inline>
        </w:drawing>
      </w:r>
      <w:r w:rsidRPr="00BA0DD2">
        <w:rPr>
          <w:rFonts w:ascii="Calibri" w:eastAsia="Times New Roman" w:hAnsi="Calibri" w:cs="Calibri"/>
          <w:color w:val="000000"/>
        </w:rPr>
        <w:br/>
      </w:r>
    </w:p>
    <w:p w14:paraId="628518F6" w14:textId="0C2FDAE9" w:rsidR="00BA0DD2" w:rsidRPr="00BA0DD2" w:rsidRDefault="00BA0DD2" w:rsidP="00BA0DD2">
      <w:pPr>
        <w:spacing w:line="240" w:lineRule="auto"/>
        <w:rPr>
          <w:rFonts w:ascii="Times New Roman" w:eastAsia="Times New Roman" w:hAnsi="Times New Roman" w:cs="Times New Roman"/>
          <w:sz w:val="24"/>
          <w:szCs w:val="24"/>
        </w:rPr>
      </w:pPr>
      <w:r w:rsidRPr="00BA0DD2">
        <w:rPr>
          <w:rFonts w:ascii="Calibri" w:eastAsia="Times New Roman" w:hAnsi="Calibri" w:cs="Calibri"/>
          <w:b/>
          <w:bCs/>
          <w:color w:val="000000"/>
        </w:rPr>
        <w:lastRenderedPageBreak/>
        <w:t>Let’s take Treasury as an example:</w:t>
      </w:r>
    </w:p>
    <w:p w14:paraId="271B6D8F" w14:textId="02BCD529"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The native token $TRSRY issuing address was blackholed after 100 million tokens were issued. As the project grows, the logic is the value in these tokens will also appreciate, as their supply is limited and are in greater demand. In contrast, the secondary token we issued, $UtiliteX is not blackholed. This is because of the underlying utility this token looks to deliver. We are delivering a 5% return on investors’ holding in $TRSRY which will be paid in $UtiliteX. If the issuing address for $UtiliteX was blackholed we would not be able to offer this indefinitely. And then</w:t>
      </w:r>
      <w:r>
        <w:rPr>
          <w:rFonts w:ascii="Calibri" w:eastAsia="Times New Roman" w:hAnsi="Calibri" w:cs="Calibri"/>
          <w:color w:val="000000"/>
        </w:rPr>
        <w:t>,</w:t>
      </w:r>
      <w:r w:rsidRPr="00BA0DD2">
        <w:rPr>
          <w:rFonts w:ascii="Calibri" w:eastAsia="Times New Roman" w:hAnsi="Calibri" w:cs="Calibri"/>
          <w:color w:val="000000"/>
        </w:rPr>
        <w:t xml:space="preserve"> focusing on the insurance we offer (see lesson on Insur), we need to be able to issue additional tokens in the event of having to honour a legitimate insurance claim, which is why the issuing address for $UtiliteX cannot be blackholed.</w:t>
      </w:r>
    </w:p>
    <w:p w14:paraId="6246D8C5" w14:textId="357F7A98"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It is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on you to assess whether the reasons for not blackholing are legitimate and any genuine project should not take offense by any questions you put to them about blackholing unless they have something to hide.</w:t>
      </w:r>
    </w:p>
    <w:p w14:paraId="653D560D" w14:textId="06CE10C8" w:rsidR="00BA0DD2" w:rsidRDefault="00BA0DD2" w:rsidP="00BA0DD2">
      <w:pPr>
        <w:spacing w:line="240" w:lineRule="auto"/>
        <w:jc w:val="both"/>
        <w:rPr>
          <w:rFonts w:ascii="Calibri" w:eastAsia="Times New Roman" w:hAnsi="Calibri" w:cs="Calibri"/>
          <w:color w:val="000000"/>
        </w:rPr>
      </w:pPr>
      <w:r w:rsidRPr="00BA0DD2">
        <w:rPr>
          <w:rFonts w:ascii="Calibri" w:eastAsia="Times New Roman" w:hAnsi="Calibri" w:cs="Calibri"/>
          <w:color w:val="000000"/>
        </w:rPr>
        <w:t>For more information on how to verify whether a token is blackholed or not, please see our up and coming forensics course, but for now you should get this information from their whitepaper or from their socials.</w:t>
      </w:r>
    </w:p>
    <w:p w14:paraId="2A668C8B" w14:textId="77777777" w:rsidR="00BA0DD2" w:rsidRPr="00BA0DD2" w:rsidRDefault="00BA0DD2" w:rsidP="00BA0DD2">
      <w:pPr>
        <w:spacing w:line="240" w:lineRule="auto"/>
        <w:jc w:val="both"/>
        <w:rPr>
          <w:rFonts w:ascii="Calibri" w:eastAsia="Times New Roman" w:hAnsi="Calibri" w:cs="Calibri"/>
          <w:color w:val="000000"/>
        </w:rPr>
      </w:pPr>
      <w:bookmarkStart w:id="1" w:name="_GoBack"/>
      <w:bookmarkEnd w:id="1"/>
    </w:p>
    <w:sectPr w:rsidR="00BA0DD2" w:rsidRPr="00BA0D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8C63FD"/>
    <w:multiLevelType w:val="multilevel"/>
    <w:tmpl w:val="3978FB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42A7F"/>
    <w:multiLevelType w:val="multilevel"/>
    <w:tmpl w:val="0E76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53612D4"/>
    <w:multiLevelType w:val="multilevel"/>
    <w:tmpl w:val="187A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F2FD4"/>
    <w:multiLevelType w:val="multilevel"/>
    <w:tmpl w:val="3AA8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666426"/>
    <w:multiLevelType w:val="multilevel"/>
    <w:tmpl w:val="A998C9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lvlOverride w:ilvl="0">
      <w:startOverride w:val="1"/>
    </w:lvlOverride>
  </w:num>
  <w:num w:numId="2">
    <w:abstractNumId w:val="21"/>
    <w:lvlOverride w:ilvl="0">
      <w:startOverride w:val="2"/>
    </w:lvlOverride>
  </w:num>
  <w:num w:numId="3">
    <w:abstractNumId w:val="21"/>
    <w:lvlOverride w:ilvl="0">
      <w:startOverride w:val="3"/>
    </w:lvlOverride>
  </w:num>
  <w:num w:numId="4">
    <w:abstractNumId w:val="22"/>
    <w:lvlOverride w:ilvl="0">
      <w:startOverride w:val="1"/>
    </w:lvlOverride>
  </w:num>
  <w:num w:numId="5">
    <w:abstractNumId w:val="22"/>
    <w:lvlOverride w:ilvl="0">
      <w:startOverride w:val="2"/>
    </w:lvlOverride>
  </w:num>
  <w:num w:numId="6">
    <w:abstractNumId w:val="22"/>
    <w:lvlOverride w:ilvl="0">
      <w:startOverride w:val="3"/>
    </w:lvlOverride>
  </w:num>
  <w:num w:numId="7">
    <w:abstractNumId w:val="10"/>
    <w:lvlOverride w:ilvl="0">
      <w:startOverride w:val="1"/>
    </w:lvlOverride>
  </w:num>
  <w:num w:numId="8">
    <w:abstractNumId w:val="10"/>
    <w:lvlOverride w:ilvl="0">
      <w:startOverride w:val="2"/>
    </w:lvlOverride>
  </w:num>
  <w:num w:numId="9">
    <w:abstractNumId w:val="10"/>
    <w:lvlOverride w:ilvl="0">
      <w:startOverride w:val="3"/>
    </w:lvlOverride>
  </w:num>
  <w:num w:numId="10">
    <w:abstractNumId w:val="31"/>
    <w:lvlOverride w:ilvl="0">
      <w:startOverride w:val="1"/>
    </w:lvlOverride>
  </w:num>
  <w:num w:numId="11">
    <w:abstractNumId w:val="31"/>
    <w:lvlOverride w:ilvl="0">
      <w:startOverride w:val="2"/>
    </w:lvlOverride>
  </w:num>
  <w:num w:numId="12">
    <w:abstractNumId w:val="31"/>
    <w:lvlOverride w:ilvl="0">
      <w:startOverride w:val="3"/>
    </w:lvlOverride>
  </w:num>
  <w:num w:numId="13">
    <w:abstractNumId w:val="9"/>
    <w:lvlOverride w:ilvl="0">
      <w:startOverride w:val="1"/>
    </w:lvlOverride>
  </w:num>
  <w:num w:numId="14">
    <w:abstractNumId w:val="9"/>
    <w:lvlOverride w:ilvl="0">
      <w:startOverride w:val="2"/>
    </w:lvlOverride>
  </w:num>
  <w:num w:numId="15">
    <w:abstractNumId w:val="9"/>
    <w:lvlOverride w:ilvl="0">
      <w:startOverride w:val="3"/>
    </w:lvlOverride>
  </w:num>
  <w:num w:numId="16">
    <w:abstractNumId w:val="12"/>
  </w:num>
  <w:num w:numId="17">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abstractNumId w:val="35"/>
    <w:lvlOverride w:ilvl="0">
      <w:lvl w:ilvl="0">
        <w:numFmt w:val="decimal"/>
        <w:lvlText w:val="%1."/>
        <w:lvlJc w:val="left"/>
      </w:lvl>
    </w:lvlOverride>
  </w:num>
  <w:num w:numId="19">
    <w:abstractNumId w:val="25"/>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6"/>
  </w:num>
  <w:num w:numId="28">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7"/>
  </w:num>
  <w:num w:numId="31">
    <w:abstractNumId w:val="27"/>
  </w:num>
  <w:num w:numId="32">
    <w:abstractNumId w:val="3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3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6"/>
  </w:num>
  <w:num w:numId="43">
    <w:abstractNumId w:val="26"/>
    <w:lvlOverride w:ilvl="1">
      <w:lvl w:ilvl="1">
        <w:numFmt w:val="bullet"/>
        <w:lvlText w:val=""/>
        <w:lvlJc w:val="left"/>
        <w:pPr>
          <w:tabs>
            <w:tab w:val="num" w:pos="1440"/>
          </w:tabs>
          <w:ind w:left="1440" w:hanging="360"/>
        </w:pPr>
        <w:rPr>
          <w:rFonts w:ascii="Symbol" w:hAnsi="Symbol" w:hint="default"/>
          <w:sz w:val="20"/>
        </w:rPr>
      </w:lvl>
    </w:lvlOverride>
  </w:num>
  <w:num w:numId="44">
    <w:abstractNumId w:val="1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7"/>
  </w:num>
  <w:num w:numId="46">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1"/>
  </w:num>
  <w:num w:numId="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abstractNumId w:val="2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37"/>
  </w:num>
  <w:num w:numId="52">
    <w:abstractNumId w:val="37"/>
    <w:lvlOverride w:ilvl="1">
      <w:lvl w:ilvl="1">
        <w:numFmt w:val="bullet"/>
        <w:lvlText w:val=""/>
        <w:lvlJc w:val="left"/>
        <w:pPr>
          <w:tabs>
            <w:tab w:val="num" w:pos="1440"/>
          </w:tabs>
          <w:ind w:left="1440" w:hanging="360"/>
        </w:pPr>
        <w:rPr>
          <w:rFonts w:ascii="Symbol" w:hAnsi="Symbol" w:hint="default"/>
          <w:sz w:val="20"/>
        </w:rPr>
      </w:lvl>
    </w:lvlOverride>
  </w:num>
  <w:num w:numId="53">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4">
    <w:abstractNumId w:val="19"/>
  </w:num>
  <w:num w:numId="55">
    <w:abstractNumId w:val="19"/>
    <w:lvlOverride w:ilvl="1">
      <w:lvl w:ilvl="1">
        <w:numFmt w:val="bullet"/>
        <w:lvlText w:val=""/>
        <w:lvlJc w:val="left"/>
        <w:pPr>
          <w:tabs>
            <w:tab w:val="num" w:pos="1440"/>
          </w:tabs>
          <w:ind w:left="1440" w:hanging="360"/>
        </w:pPr>
        <w:rPr>
          <w:rFonts w:ascii="Symbol" w:hAnsi="Symbol" w:hint="default"/>
          <w:sz w:val="20"/>
        </w:rPr>
      </w:lvl>
    </w:lvlOverride>
  </w:num>
  <w:num w:numId="56">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7">
    <w:abstractNumId w:val="29"/>
  </w:num>
  <w:num w:numId="58">
    <w:abstractNumId w:val="8"/>
  </w:num>
  <w:num w:numId="59">
    <w:abstractNumId w:val="8"/>
    <w:lvlOverride w:ilvl="1">
      <w:lvl w:ilvl="1">
        <w:numFmt w:val="bullet"/>
        <w:lvlText w:val=""/>
        <w:lvlJc w:val="left"/>
        <w:pPr>
          <w:tabs>
            <w:tab w:val="num" w:pos="1440"/>
          </w:tabs>
          <w:ind w:left="1440" w:hanging="360"/>
        </w:pPr>
        <w:rPr>
          <w:rFonts w:ascii="Symbol" w:hAnsi="Symbol" w:hint="default"/>
          <w:sz w:val="20"/>
        </w:rPr>
      </w:lvl>
    </w:lvlOverride>
  </w:num>
  <w:num w:numId="60">
    <w:abstractNumId w:val="3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A3BAA"/>
    <w:rsid w:val="000D06DD"/>
    <w:rsid w:val="00123FD9"/>
    <w:rsid w:val="001D0010"/>
    <w:rsid w:val="001D7E36"/>
    <w:rsid w:val="001E37FF"/>
    <w:rsid w:val="001F27C0"/>
    <w:rsid w:val="0024025B"/>
    <w:rsid w:val="002B4A3C"/>
    <w:rsid w:val="002C2250"/>
    <w:rsid w:val="0036399B"/>
    <w:rsid w:val="00372EBA"/>
    <w:rsid w:val="00396441"/>
    <w:rsid w:val="003B0C96"/>
    <w:rsid w:val="003E2A13"/>
    <w:rsid w:val="004041A6"/>
    <w:rsid w:val="004A4C44"/>
    <w:rsid w:val="004F1E4F"/>
    <w:rsid w:val="00563E5A"/>
    <w:rsid w:val="0059521D"/>
    <w:rsid w:val="005F037A"/>
    <w:rsid w:val="005F6136"/>
    <w:rsid w:val="00630443"/>
    <w:rsid w:val="006716BB"/>
    <w:rsid w:val="007031E5"/>
    <w:rsid w:val="00744225"/>
    <w:rsid w:val="007C1675"/>
    <w:rsid w:val="00814F25"/>
    <w:rsid w:val="008351A5"/>
    <w:rsid w:val="008C371B"/>
    <w:rsid w:val="008C77CC"/>
    <w:rsid w:val="009B23CC"/>
    <w:rsid w:val="009C52A6"/>
    <w:rsid w:val="009D3862"/>
    <w:rsid w:val="009F649C"/>
    <w:rsid w:val="00A0145D"/>
    <w:rsid w:val="00A43EF5"/>
    <w:rsid w:val="00A5455C"/>
    <w:rsid w:val="00A84D00"/>
    <w:rsid w:val="00AE3998"/>
    <w:rsid w:val="00B61DFF"/>
    <w:rsid w:val="00BA0DD2"/>
    <w:rsid w:val="00BB0B5F"/>
    <w:rsid w:val="00BB1421"/>
    <w:rsid w:val="00BB2168"/>
    <w:rsid w:val="00BE3F9E"/>
    <w:rsid w:val="00C07CEB"/>
    <w:rsid w:val="00CD5915"/>
    <w:rsid w:val="00D234D6"/>
    <w:rsid w:val="00D63C00"/>
    <w:rsid w:val="00D747F2"/>
    <w:rsid w:val="00D8378A"/>
    <w:rsid w:val="00DE031C"/>
    <w:rsid w:val="00E528FD"/>
    <w:rsid w:val="00E96C7C"/>
    <w:rsid w:val="00F1366B"/>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182019400">
      <w:bodyDiv w:val="1"/>
      <w:marLeft w:val="0"/>
      <w:marRight w:val="0"/>
      <w:marTop w:val="0"/>
      <w:marBottom w:val="0"/>
      <w:divBdr>
        <w:top w:val="none" w:sz="0" w:space="0" w:color="auto"/>
        <w:left w:val="none" w:sz="0" w:space="0" w:color="auto"/>
        <w:bottom w:val="none" w:sz="0" w:space="0" w:color="auto"/>
        <w:right w:val="none" w:sz="0" w:space="0" w:color="auto"/>
      </w:divBdr>
    </w:div>
    <w:div w:id="344327630">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697971627">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31857706">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53" Type="http://schemas.openxmlformats.org/officeDocument/2006/relationships/control" Target="activeX/activeX39.xml"/><Relationship Id="rId58" Type="http://schemas.openxmlformats.org/officeDocument/2006/relationships/control" Target="activeX/activeX42.xml"/><Relationship Id="rId74" Type="http://schemas.openxmlformats.org/officeDocument/2006/relationships/image" Target="media/image17.png"/><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80" Type="http://schemas.microsoft.com/office/2016/09/relationships/commentsIds" Target="commentsIds.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microsoft.com/office/2011/relationships/people" Target="people.xml"/><Relationship Id="rId8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image" Target="media/image19.png"/><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mments" Target="comments.xml"/><Relationship Id="rId66"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28</Pages>
  <Words>6406</Words>
  <Characters>36520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57</cp:revision>
  <dcterms:created xsi:type="dcterms:W3CDTF">2022-07-24T11:27:00Z</dcterms:created>
  <dcterms:modified xsi:type="dcterms:W3CDTF">2022-07-25T09:54:00Z</dcterms:modified>
</cp:coreProperties>
</file>