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4B8917CF" w:rsidR="0006689D" w:rsidRPr="00FB7F9E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397159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202</w:t>
      </w:r>
      <w:r w:rsidR="00523FEB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Distribuição de participantes por sexo</w:t>
      </w:r>
    </w:p>
    <w:p>
      <w:pPr>
        <w:pStyle w:val="CorpoComRecuo"/>
      </w:pPr>
      <w:r>
        <w:t>Atualmente, o percentual de participantes está representado em 50.34% de homens e 49.66%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8503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2.2. Distribuição de participantes por Sexo e Grupos de Idade</w:t>
      </w:r>
    </w:p>
    <w:p>
      <w:pPr>
        <w:pStyle w:val="CorpoComRecuo"/>
      </w:pPr>
      <w:r>
        <w:t>A concentração de participantes está distribuída entre as idades de 39 a 41.</w:t>
      </w:r>
    </w:p>
    <w:p>
      <w:pPr>
        <w:jc w:val="center"/>
      </w:pPr>
      <w:r>
        <w:t>Gráfico 1. Distribuição de participantes por sexo e grupo de idade*</w:t>
      </w:r>
    </w:p>
    <w:p>
      <w:r>
        <w:drawing>
          <wp:inline xmlns:a="http://schemas.openxmlformats.org/drawingml/2006/main" xmlns:pic="http://schemas.openxmlformats.org/drawingml/2006/picture">
            <wp:extent cx="5669280" cy="39363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6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4C77" w14:textId="77777777" w:rsidR="00725828" w:rsidRDefault="00725828" w:rsidP="00C73087">
      <w:r>
        <w:separator/>
      </w:r>
    </w:p>
  </w:endnote>
  <w:endnote w:type="continuationSeparator" w:id="0">
    <w:p w14:paraId="08E85560" w14:textId="77777777" w:rsidR="00725828" w:rsidRDefault="00725828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390D" w14:textId="77777777" w:rsidR="00725828" w:rsidRDefault="00725828" w:rsidP="00C73087">
      <w:r>
        <w:separator/>
      </w:r>
    </w:p>
  </w:footnote>
  <w:footnote w:type="continuationSeparator" w:id="0">
    <w:p w14:paraId="77FFA782" w14:textId="77777777" w:rsidR="00725828" w:rsidRDefault="00725828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3</cp:revision>
  <cp:lastPrinted>2019-07-30T20:26:00Z</cp:lastPrinted>
  <dcterms:created xsi:type="dcterms:W3CDTF">2025-07-01T17:50:00Z</dcterms:created>
  <dcterms:modified xsi:type="dcterms:W3CDTF">2025-07-01T17:52:00Z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